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0008D8" w14:paraId="5BB91E32" w14:textId="77777777">
        <w:trPr>
          <w:cantSplit/>
          <w:trHeight w:hRule="exact" w:val="851"/>
        </w:trPr>
        <w:tc>
          <w:tcPr>
            <w:tcW w:w="1276" w:type="dxa"/>
            <w:tcBorders>
              <w:bottom w:val="single" w:sz="4" w:space="0" w:color="auto"/>
            </w:tcBorders>
            <w:vAlign w:val="bottom"/>
          </w:tcPr>
          <w:p w14:paraId="77803EA2" w14:textId="77777777" w:rsidR="006A4374" w:rsidRDefault="006A4374">
            <w:pPr>
              <w:spacing w:after="80"/>
            </w:pPr>
          </w:p>
        </w:tc>
        <w:tc>
          <w:tcPr>
            <w:tcW w:w="2268" w:type="dxa"/>
            <w:tcBorders>
              <w:bottom w:val="single" w:sz="4" w:space="0" w:color="auto"/>
            </w:tcBorders>
            <w:vAlign w:val="bottom"/>
          </w:tcPr>
          <w:p w14:paraId="0DEFD1A1" w14:textId="6CDC2128" w:rsidR="006A4374" w:rsidRDefault="006A4374">
            <w:pPr>
              <w:spacing w:after="80" w:line="300" w:lineRule="exact"/>
              <w:rPr>
                <w:b/>
                <w:sz w:val="24"/>
                <w:szCs w:val="24"/>
              </w:rPr>
            </w:pPr>
          </w:p>
        </w:tc>
        <w:tc>
          <w:tcPr>
            <w:tcW w:w="6095" w:type="dxa"/>
            <w:gridSpan w:val="2"/>
            <w:tcBorders>
              <w:bottom w:val="single" w:sz="4" w:space="0" w:color="auto"/>
            </w:tcBorders>
            <w:vAlign w:val="bottom"/>
          </w:tcPr>
          <w:p w14:paraId="4449BBDE" w14:textId="2A4FEBB7" w:rsidR="006A4374" w:rsidRDefault="001C5949" w:rsidP="001E09B0">
            <w:pPr>
              <w:suppressAutoHyphens w:val="0"/>
              <w:spacing w:after="20"/>
              <w:jc w:val="right"/>
            </w:pPr>
            <w:r>
              <w:rPr>
                <w:sz w:val="40"/>
              </w:rPr>
              <w:t>E</w:t>
            </w:r>
            <w:r>
              <w:t>/C.12/</w:t>
            </w:r>
            <w:r w:rsidR="001E09B0">
              <w:t>SRB</w:t>
            </w:r>
            <w:r w:rsidR="00D3491B">
              <w:t>/CO/</w:t>
            </w:r>
            <w:r>
              <w:t>3</w:t>
            </w:r>
          </w:p>
        </w:tc>
      </w:tr>
      <w:tr w:rsidR="000008D8" w14:paraId="4D2EE4F4" w14:textId="77777777">
        <w:trPr>
          <w:cantSplit/>
          <w:trHeight w:hRule="exact" w:val="2835"/>
        </w:trPr>
        <w:tc>
          <w:tcPr>
            <w:tcW w:w="1276" w:type="dxa"/>
            <w:tcBorders>
              <w:top w:val="single" w:sz="4" w:space="0" w:color="auto"/>
              <w:bottom w:val="single" w:sz="12" w:space="0" w:color="auto"/>
            </w:tcBorders>
          </w:tcPr>
          <w:p w14:paraId="67C8493D" w14:textId="564E7F36" w:rsidR="006A4374" w:rsidRDefault="006A4374">
            <w:pPr>
              <w:spacing w:before="120"/>
              <w:jc w:val="center"/>
            </w:pPr>
          </w:p>
        </w:tc>
        <w:tc>
          <w:tcPr>
            <w:tcW w:w="5528" w:type="dxa"/>
            <w:gridSpan w:val="2"/>
            <w:tcBorders>
              <w:top w:val="single" w:sz="4" w:space="0" w:color="auto"/>
              <w:bottom w:val="single" w:sz="12" w:space="0" w:color="auto"/>
            </w:tcBorders>
          </w:tcPr>
          <w:p w14:paraId="09AEAAA4" w14:textId="1F6657A4" w:rsidR="00442AD1" w:rsidRPr="00442AD1" w:rsidRDefault="007669E2">
            <w:pPr>
              <w:spacing w:before="120" w:line="380" w:lineRule="exact"/>
              <w:rPr>
                <w:i/>
              </w:rPr>
            </w:pPr>
            <w:r>
              <w:rPr>
                <w:b/>
              </w:rPr>
              <w:t>ADVANCE UNEDITED VERSION</w:t>
            </w:r>
          </w:p>
        </w:tc>
        <w:tc>
          <w:tcPr>
            <w:tcW w:w="2835" w:type="dxa"/>
            <w:tcBorders>
              <w:top w:val="single" w:sz="4" w:space="0" w:color="auto"/>
              <w:bottom w:val="single" w:sz="12" w:space="0" w:color="auto"/>
            </w:tcBorders>
          </w:tcPr>
          <w:p w14:paraId="0CD50443" w14:textId="21FFB9A9" w:rsidR="006A4374" w:rsidRPr="008572FE" w:rsidRDefault="001C5949">
            <w:pPr>
              <w:suppressAutoHyphens w:val="0"/>
              <w:spacing w:before="240" w:line="240" w:lineRule="exact"/>
            </w:pPr>
            <w:r w:rsidRPr="008572FE">
              <w:t xml:space="preserve">Distr.: </w:t>
            </w:r>
            <w:r w:rsidR="00D3491B">
              <w:t>General</w:t>
            </w:r>
          </w:p>
          <w:p w14:paraId="63113808" w14:textId="7F23232D" w:rsidR="006A4374" w:rsidRPr="008572FE" w:rsidRDefault="00D3491B">
            <w:pPr>
              <w:suppressAutoHyphens w:val="0"/>
            </w:pPr>
            <w:r>
              <w:t>4</w:t>
            </w:r>
            <w:r w:rsidR="005E7C36">
              <w:t xml:space="preserve"> March</w:t>
            </w:r>
            <w:r w:rsidR="001C5949" w:rsidRPr="008572FE">
              <w:t xml:space="preserve"> 2022</w:t>
            </w:r>
          </w:p>
          <w:p w14:paraId="269F85DE" w14:textId="77777777" w:rsidR="006A4374" w:rsidRPr="008572FE" w:rsidRDefault="006A4374">
            <w:pPr>
              <w:suppressAutoHyphens w:val="0"/>
            </w:pPr>
          </w:p>
          <w:p w14:paraId="216F7D84" w14:textId="57DB210B" w:rsidR="006A4374" w:rsidRPr="008572FE" w:rsidRDefault="001C5949">
            <w:pPr>
              <w:suppressAutoHyphens w:val="0"/>
            </w:pPr>
            <w:r w:rsidRPr="008572FE">
              <w:t>Original: English</w:t>
            </w:r>
          </w:p>
        </w:tc>
      </w:tr>
    </w:tbl>
    <w:p w14:paraId="1B1240BB" w14:textId="77777777" w:rsidR="006A4374" w:rsidRDefault="001C5949">
      <w:pPr>
        <w:spacing w:before="120"/>
        <w:rPr>
          <w:b/>
          <w:sz w:val="24"/>
        </w:rPr>
      </w:pPr>
      <w:r>
        <w:rPr>
          <w:b/>
          <w:sz w:val="24"/>
        </w:rPr>
        <w:t>Committee on Economic, Social and Cultural Rights</w:t>
      </w:r>
    </w:p>
    <w:p w14:paraId="01B80676" w14:textId="1BDF1A68" w:rsidR="006A4374" w:rsidRDefault="001C5949" w:rsidP="00442AD1">
      <w:pPr>
        <w:pStyle w:val="HMG"/>
      </w:pPr>
      <w:r>
        <w:tab/>
      </w:r>
      <w:r>
        <w:tab/>
        <w:t xml:space="preserve">Concluding observations on the third periodic report of </w:t>
      </w:r>
      <w:r w:rsidR="001E09B0">
        <w:t>Serbia</w:t>
      </w:r>
      <w:r w:rsidR="00D3491B" w:rsidRPr="00C96719">
        <w:rPr>
          <w:rStyle w:val="FootnoteReference"/>
          <w:b w:val="0"/>
          <w:bCs/>
          <w:sz w:val="20"/>
        </w:rPr>
        <w:footnoteReference w:customMarkFollows="1" w:id="2"/>
        <w:t>*</w:t>
      </w:r>
    </w:p>
    <w:p w14:paraId="4B1E03A4" w14:textId="2034F6B5" w:rsidR="001E09B0" w:rsidRPr="009B1D66" w:rsidRDefault="009B1D66" w:rsidP="00442AD1">
      <w:pPr>
        <w:pStyle w:val="SingleTxtG"/>
        <w:numPr>
          <w:ilvl w:val="0"/>
          <w:numId w:val="32"/>
        </w:numPr>
        <w:tabs>
          <w:tab w:val="clear" w:pos="1701"/>
          <w:tab w:val="clear" w:pos="2268"/>
          <w:tab w:val="clear" w:pos="2835"/>
        </w:tabs>
        <w:ind w:left="1134" w:firstLine="0"/>
      </w:pPr>
      <w:r w:rsidRPr="00367C28">
        <w:t xml:space="preserve">The Committee considered the </w:t>
      </w:r>
      <w:r>
        <w:t>third</w:t>
      </w:r>
      <w:r w:rsidRPr="00367C28">
        <w:t xml:space="preserve"> periodic report of </w:t>
      </w:r>
      <w:r>
        <w:t>Serbia</w:t>
      </w:r>
      <w:r w:rsidRPr="009B1D66">
        <w:rPr>
          <w:vertAlign w:val="superscript"/>
        </w:rPr>
        <w:footnoteReference w:id="3"/>
      </w:r>
      <w:r>
        <w:t xml:space="preserve"> </w:t>
      </w:r>
      <w:r w:rsidRPr="00367C28">
        <w:t xml:space="preserve">at its </w:t>
      </w:r>
      <w:r>
        <w:t xml:space="preserve">12th, 14th and 16th </w:t>
      </w:r>
      <w:r w:rsidRPr="00367C28">
        <w:t>meetings,</w:t>
      </w:r>
      <w:r w:rsidRPr="009B1D66">
        <w:rPr>
          <w:vertAlign w:val="superscript"/>
        </w:rPr>
        <w:footnoteReference w:id="4"/>
      </w:r>
      <w:r w:rsidRPr="00367C28">
        <w:t xml:space="preserve"> held</w:t>
      </w:r>
      <w:r>
        <w:t xml:space="preserve"> </w:t>
      </w:r>
      <w:r w:rsidRPr="00367C28">
        <w:t xml:space="preserve">on </w:t>
      </w:r>
      <w:r>
        <w:t xml:space="preserve">21, 22 and 23 February </w:t>
      </w:r>
      <w:r w:rsidRPr="00367C28">
        <w:t>202</w:t>
      </w:r>
      <w:r>
        <w:t>2</w:t>
      </w:r>
      <w:r w:rsidRPr="00367C28">
        <w:t>, and adopted the present concluding observations</w:t>
      </w:r>
      <w:r w:rsidRPr="00491E8F">
        <w:t xml:space="preserve"> at </w:t>
      </w:r>
      <w:r w:rsidRPr="005D14BE">
        <w:t xml:space="preserve">its </w:t>
      </w:r>
      <w:r>
        <w:t>30</w:t>
      </w:r>
      <w:r w:rsidRPr="00A6656B">
        <w:t>th</w:t>
      </w:r>
      <w:r w:rsidRPr="001A0230">
        <w:t xml:space="preserve"> meeting, held on </w:t>
      </w:r>
      <w:r>
        <w:t>4 March</w:t>
      </w:r>
      <w:r w:rsidRPr="001A0230">
        <w:t xml:space="preserve"> 202</w:t>
      </w:r>
      <w:r>
        <w:t>2</w:t>
      </w:r>
      <w:r w:rsidRPr="005D14BE">
        <w:t>.</w:t>
      </w:r>
    </w:p>
    <w:p w14:paraId="597E782A" w14:textId="77777777" w:rsidR="001E09B0" w:rsidRDefault="001E09B0" w:rsidP="001E09B0">
      <w:pPr>
        <w:pStyle w:val="H1G"/>
      </w:pPr>
      <w:r>
        <w:tab/>
        <w:t>A.</w:t>
      </w:r>
      <w:r>
        <w:tab/>
        <w:t>Introduction</w:t>
      </w:r>
    </w:p>
    <w:p w14:paraId="63D4D3A6" w14:textId="7B85DB15" w:rsidR="001E09B0" w:rsidRDefault="001E09B0" w:rsidP="00442AD1">
      <w:pPr>
        <w:pStyle w:val="SingleTxtG"/>
        <w:numPr>
          <w:ilvl w:val="0"/>
          <w:numId w:val="32"/>
        </w:numPr>
        <w:tabs>
          <w:tab w:val="clear" w:pos="1701"/>
          <w:tab w:val="clear" w:pos="2268"/>
          <w:tab w:val="clear" w:pos="2835"/>
        </w:tabs>
        <w:ind w:left="1134" w:firstLine="0"/>
        <w:rPr>
          <w:b/>
          <w:bCs/>
        </w:rPr>
      </w:pPr>
      <w:r w:rsidRPr="001E09B0">
        <w:rPr>
          <w:bCs/>
        </w:rPr>
        <w:t xml:space="preserve">The Committee </w:t>
      </w:r>
      <w:r w:rsidR="00220FE7">
        <w:rPr>
          <w:bCs/>
        </w:rPr>
        <w:t>welcomes the submission by the State party of the third periodic report and the supplementary information provided in the replies to the list of issues.</w:t>
      </w:r>
      <w:r w:rsidR="00857F94">
        <w:rPr>
          <w:rStyle w:val="FootnoteReference"/>
          <w:bCs/>
        </w:rPr>
        <w:footnoteReference w:id="5"/>
      </w:r>
      <w:r w:rsidR="00220FE7">
        <w:rPr>
          <w:bCs/>
        </w:rPr>
        <w:t xml:space="preserve"> The Committee also appreciates the constructive dialogue with the State party’s high-level inter-ministerial delegation.</w:t>
      </w:r>
    </w:p>
    <w:p w14:paraId="76C872D3" w14:textId="77777777" w:rsidR="001E09B0" w:rsidRDefault="001E09B0" w:rsidP="001E09B0">
      <w:pPr>
        <w:pStyle w:val="H1G"/>
      </w:pPr>
      <w:r>
        <w:tab/>
        <w:t>B.</w:t>
      </w:r>
      <w:r>
        <w:tab/>
        <w:t>Positive aspects</w:t>
      </w:r>
    </w:p>
    <w:p w14:paraId="02E9FB99" w14:textId="7C4284C0" w:rsidR="009B1D66" w:rsidRPr="00B34BC7" w:rsidRDefault="009B1D66" w:rsidP="00442AD1">
      <w:pPr>
        <w:pStyle w:val="SingleTxtG"/>
        <w:numPr>
          <w:ilvl w:val="0"/>
          <w:numId w:val="32"/>
        </w:numPr>
        <w:tabs>
          <w:tab w:val="clear" w:pos="1701"/>
          <w:tab w:val="clear" w:pos="2268"/>
          <w:tab w:val="clear" w:pos="2835"/>
        </w:tabs>
        <w:ind w:left="1134" w:firstLine="0"/>
        <w:rPr>
          <w:bCs/>
        </w:rPr>
      </w:pPr>
      <w:r>
        <w:t>The Committee welcome</w:t>
      </w:r>
      <w:r w:rsidRPr="00954236">
        <w:t>s</w:t>
      </w:r>
      <w:r>
        <w:t xml:space="preserve"> the legislative, institutional and policy measures taken to increase protection of economic, social and cultural rights in the State party, </w:t>
      </w:r>
      <w:r w:rsidRPr="008C16CD">
        <w:t xml:space="preserve">such as the adoption of </w:t>
      </w:r>
      <w:r w:rsidR="008C16CD">
        <w:t xml:space="preserve">the </w:t>
      </w:r>
      <w:r w:rsidR="008C16CD" w:rsidRPr="008C16CD">
        <w:t>Amendments to the Law on Prohibition of Discrimination</w:t>
      </w:r>
      <w:r w:rsidR="008C16CD">
        <w:t xml:space="preserve"> in 2021, the</w:t>
      </w:r>
      <w:r w:rsidR="004752D8" w:rsidRPr="004752D8">
        <w:t xml:space="preserve"> Free Legal Aid</w:t>
      </w:r>
      <w:r w:rsidR="008C16CD">
        <w:t xml:space="preserve"> Act in 2018</w:t>
      </w:r>
      <w:r w:rsidR="006574AF">
        <w:t>,</w:t>
      </w:r>
      <w:r w:rsidR="008C16CD">
        <w:t xml:space="preserve"> and the Law on Housing and Building Maintenance in 2016</w:t>
      </w:r>
      <w:r w:rsidR="005977EE">
        <w:t>,</w:t>
      </w:r>
      <w:r>
        <w:t xml:space="preserve"> and the measures mentioned in the present concluding observations</w:t>
      </w:r>
      <w:r w:rsidR="005B7311">
        <w:t>.</w:t>
      </w:r>
    </w:p>
    <w:p w14:paraId="6565C245" w14:textId="77777777" w:rsidR="001E09B0" w:rsidRDefault="001E09B0" w:rsidP="001E09B0">
      <w:pPr>
        <w:pStyle w:val="H1G"/>
      </w:pPr>
      <w:r>
        <w:tab/>
        <w:t>C.</w:t>
      </w:r>
      <w:r>
        <w:tab/>
        <w:t>Principal subjects of concern and recommendations</w:t>
      </w:r>
    </w:p>
    <w:p w14:paraId="0BDAB8EC" w14:textId="77777777" w:rsidR="004D0556" w:rsidRDefault="004D0556" w:rsidP="004D0556">
      <w:pPr>
        <w:pStyle w:val="H23G"/>
      </w:pPr>
      <w:r>
        <w:tab/>
      </w:r>
      <w:r>
        <w:tab/>
      </w:r>
      <w:r w:rsidRPr="00A71370">
        <w:t>Domestic</w:t>
      </w:r>
      <w:r w:rsidRPr="00BF6BB1">
        <w:t xml:space="preserve"> application of the Covenant</w:t>
      </w:r>
    </w:p>
    <w:p w14:paraId="60F4F6C5" w14:textId="1B8C42C3" w:rsidR="001E09B0" w:rsidRDefault="002426B2" w:rsidP="00442AD1">
      <w:pPr>
        <w:pStyle w:val="SingleTxtG"/>
        <w:numPr>
          <w:ilvl w:val="0"/>
          <w:numId w:val="32"/>
        </w:numPr>
        <w:tabs>
          <w:tab w:val="clear" w:pos="1701"/>
          <w:tab w:val="clear" w:pos="2268"/>
          <w:tab w:val="clear" w:pos="2835"/>
        </w:tabs>
        <w:ind w:left="1134" w:firstLine="0"/>
        <w:rPr>
          <w:bCs/>
        </w:rPr>
      </w:pPr>
      <w:r>
        <w:t xml:space="preserve">The Committee notes </w:t>
      </w:r>
      <w:r w:rsidR="00D51F7C">
        <w:t>the indication</w:t>
      </w:r>
      <w:r w:rsidR="000A4052">
        <w:t xml:space="preserve"> by the delegation</w:t>
      </w:r>
      <w:r w:rsidR="00D51F7C">
        <w:t xml:space="preserve"> </w:t>
      </w:r>
      <w:r w:rsidR="000A4052">
        <w:t xml:space="preserve">of a concrete plan for </w:t>
      </w:r>
      <w:r>
        <w:t>the ratification</w:t>
      </w:r>
      <w:r w:rsidR="000A4052">
        <w:t xml:space="preserve"> </w:t>
      </w:r>
      <w:r>
        <w:t>of the</w:t>
      </w:r>
      <w:r w:rsidR="009A5594">
        <w:t xml:space="preserve"> Optional Protocol to the Covenant</w:t>
      </w:r>
      <w:r>
        <w:t xml:space="preserve"> by the end of 2022. T</w:t>
      </w:r>
      <w:r w:rsidR="001E09B0" w:rsidRPr="001E09B0">
        <w:rPr>
          <w:bCs/>
        </w:rPr>
        <w:t>he Committee</w:t>
      </w:r>
      <w:r>
        <w:rPr>
          <w:bCs/>
        </w:rPr>
        <w:t>, however,</w:t>
      </w:r>
      <w:r w:rsidR="001E09B0" w:rsidRPr="001E09B0">
        <w:rPr>
          <w:bCs/>
        </w:rPr>
        <w:t xml:space="preserve"> </w:t>
      </w:r>
      <w:r>
        <w:rPr>
          <w:bCs/>
        </w:rPr>
        <w:t>remains</w:t>
      </w:r>
      <w:r w:rsidR="00CE0976">
        <w:rPr>
          <w:bCs/>
        </w:rPr>
        <w:t xml:space="preserve"> concerned </w:t>
      </w:r>
      <w:r w:rsidR="009A5594">
        <w:rPr>
          <w:bCs/>
        </w:rPr>
        <w:t xml:space="preserve">at the absence of court decisions </w:t>
      </w:r>
      <w:r w:rsidR="00CE0976">
        <w:rPr>
          <w:bCs/>
        </w:rPr>
        <w:t>invok</w:t>
      </w:r>
      <w:r w:rsidR="009A5594">
        <w:rPr>
          <w:bCs/>
        </w:rPr>
        <w:t xml:space="preserve">ing </w:t>
      </w:r>
      <w:r w:rsidR="00CE0976">
        <w:rPr>
          <w:bCs/>
        </w:rPr>
        <w:t>provisions of the Covenant in their decisions</w:t>
      </w:r>
      <w:r>
        <w:rPr>
          <w:bCs/>
        </w:rPr>
        <w:t xml:space="preserve"> and t</w:t>
      </w:r>
      <w:r w:rsidR="00CE0976">
        <w:rPr>
          <w:bCs/>
        </w:rPr>
        <w:t>he</w:t>
      </w:r>
      <w:r w:rsidR="009A5594">
        <w:rPr>
          <w:bCs/>
        </w:rPr>
        <w:t xml:space="preserve"> lack of specialized training on the </w:t>
      </w:r>
      <w:proofErr w:type="spellStart"/>
      <w:r w:rsidR="006A1BD0">
        <w:rPr>
          <w:bCs/>
        </w:rPr>
        <w:t>justiciability</w:t>
      </w:r>
      <w:proofErr w:type="spellEnd"/>
      <w:r w:rsidR="006A1BD0">
        <w:rPr>
          <w:bCs/>
        </w:rPr>
        <w:t xml:space="preserve"> of the </w:t>
      </w:r>
      <w:r w:rsidR="009A5594">
        <w:rPr>
          <w:bCs/>
        </w:rPr>
        <w:t xml:space="preserve">provisions of the Covenant for judges, prosecutors and lawyers. </w:t>
      </w:r>
      <w:r>
        <w:rPr>
          <w:bCs/>
        </w:rPr>
        <w:t>It</w:t>
      </w:r>
      <w:r w:rsidR="009A5594">
        <w:rPr>
          <w:bCs/>
        </w:rPr>
        <w:t xml:space="preserve"> is also concerned about the lack of</w:t>
      </w:r>
      <w:r w:rsidR="00555D59">
        <w:rPr>
          <w:bCs/>
        </w:rPr>
        <w:t xml:space="preserve"> awareness</w:t>
      </w:r>
      <w:r w:rsidR="009A5594">
        <w:rPr>
          <w:bCs/>
        </w:rPr>
        <w:t xml:space="preserve"> of the </w:t>
      </w:r>
      <w:r w:rsidR="006A1BD0">
        <w:rPr>
          <w:bCs/>
        </w:rPr>
        <w:t xml:space="preserve">State party’s </w:t>
      </w:r>
      <w:r w:rsidR="009A5594">
        <w:rPr>
          <w:bCs/>
        </w:rPr>
        <w:t xml:space="preserve">obligations under the Covenant among public officials, especially those </w:t>
      </w:r>
      <w:r w:rsidR="006A1BD0">
        <w:rPr>
          <w:bCs/>
        </w:rPr>
        <w:t>responsible for</w:t>
      </w:r>
      <w:r w:rsidR="009A5594">
        <w:rPr>
          <w:bCs/>
        </w:rPr>
        <w:t xml:space="preserve"> </w:t>
      </w:r>
      <w:r w:rsidR="006A1BD0">
        <w:rPr>
          <w:bCs/>
        </w:rPr>
        <w:t>the implementation of the Covenant</w:t>
      </w:r>
      <w:r w:rsidR="004F59D2">
        <w:rPr>
          <w:bCs/>
        </w:rPr>
        <w:t xml:space="preserve"> </w:t>
      </w:r>
      <w:r w:rsidR="004F59D2">
        <w:t>(art. 2 (1))</w:t>
      </w:r>
      <w:r w:rsidR="009A5594">
        <w:rPr>
          <w:bCs/>
        </w:rPr>
        <w:t xml:space="preserve">.  </w:t>
      </w:r>
    </w:p>
    <w:p w14:paraId="30ABD6E2" w14:textId="3DCD7016" w:rsidR="001E09B0" w:rsidRPr="00A35E98" w:rsidRDefault="00AA4408" w:rsidP="00442AD1">
      <w:pPr>
        <w:pStyle w:val="SingleTxtG"/>
        <w:numPr>
          <w:ilvl w:val="0"/>
          <w:numId w:val="32"/>
        </w:numPr>
        <w:tabs>
          <w:tab w:val="clear" w:pos="1701"/>
          <w:tab w:val="clear" w:pos="2268"/>
          <w:tab w:val="clear" w:pos="2835"/>
        </w:tabs>
        <w:ind w:left="1134" w:firstLine="0"/>
        <w:rPr>
          <w:b/>
        </w:rPr>
      </w:pPr>
      <w:r w:rsidRPr="00A35E98">
        <w:rPr>
          <w:b/>
        </w:rPr>
        <w:t>The Committee recommends</w:t>
      </w:r>
      <w:r w:rsidR="00143F7D" w:rsidRPr="00A35E98">
        <w:rPr>
          <w:b/>
        </w:rPr>
        <w:t xml:space="preserve"> that the State party:</w:t>
      </w:r>
    </w:p>
    <w:p w14:paraId="7B819AA2" w14:textId="6A20307A" w:rsidR="00143F7D" w:rsidRPr="00A35E98" w:rsidRDefault="00143F7D" w:rsidP="001E09B0">
      <w:pPr>
        <w:pStyle w:val="SingleTxtG"/>
        <w:rPr>
          <w:b/>
        </w:rPr>
      </w:pPr>
      <w:r w:rsidRPr="00A35E98">
        <w:rPr>
          <w:b/>
        </w:rPr>
        <w:lastRenderedPageBreak/>
        <w:tab/>
        <w:t>(</w:t>
      </w:r>
      <w:r w:rsidR="00ED0A11">
        <w:rPr>
          <w:b/>
        </w:rPr>
        <w:t>a</w:t>
      </w:r>
      <w:r w:rsidRPr="00A35E98">
        <w:rPr>
          <w:b/>
        </w:rPr>
        <w:t>)</w:t>
      </w:r>
      <w:r w:rsidRPr="00A35E98">
        <w:rPr>
          <w:b/>
        </w:rPr>
        <w:tab/>
        <w:t xml:space="preserve">Provide regular training, including through the Judicial Academy, specialized on the provisions of the Covenant and their </w:t>
      </w:r>
      <w:proofErr w:type="spellStart"/>
      <w:r w:rsidRPr="00A35E98">
        <w:rPr>
          <w:b/>
        </w:rPr>
        <w:t>justiciability</w:t>
      </w:r>
      <w:proofErr w:type="spellEnd"/>
      <w:r w:rsidRPr="00A35E98">
        <w:rPr>
          <w:b/>
        </w:rPr>
        <w:t xml:space="preserve"> for judges, prosecutors and lawyers;</w:t>
      </w:r>
    </w:p>
    <w:p w14:paraId="0756D953" w14:textId="271500BC" w:rsidR="00597D4D" w:rsidRDefault="00143F7D" w:rsidP="00143F7D">
      <w:pPr>
        <w:pStyle w:val="SingleTxtG"/>
        <w:rPr>
          <w:b/>
        </w:rPr>
      </w:pPr>
      <w:r>
        <w:rPr>
          <w:b/>
        </w:rPr>
        <w:tab/>
        <w:t>(</w:t>
      </w:r>
      <w:r w:rsidR="00ED0A11">
        <w:rPr>
          <w:b/>
        </w:rPr>
        <w:t>b</w:t>
      </w:r>
      <w:r>
        <w:rPr>
          <w:b/>
        </w:rPr>
        <w:t>)</w:t>
      </w:r>
      <w:r>
        <w:rPr>
          <w:b/>
        </w:rPr>
        <w:tab/>
        <w:t xml:space="preserve">Enhance awareness of economic, social and cultural rights among </w:t>
      </w:r>
      <w:r w:rsidRPr="00143F7D">
        <w:rPr>
          <w:b/>
        </w:rPr>
        <w:t>state</w:t>
      </w:r>
      <w:r w:rsidR="006A1BD0">
        <w:rPr>
          <w:b/>
        </w:rPr>
        <w:t xml:space="preserve"> and</w:t>
      </w:r>
      <w:r w:rsidRPr="00143F7D">
        <w:rPr>
          <w:b/>
        </w:rPr>
        <w:t xml:space="preserve"> non-</w:t>
      </w:r>
      <w:r w:rsidRPr="00143F7D">
        <w:rPr>
          <w:rFonts w:hint="eastAsia"/>
          <w:b/>
        </w:rPr>
        <w:t>s</w:t>
      </w:r>
      <w:r w:rsidRPr="00143F7D">
        <w:rPr>
          <w:b/>
        </w:rPr>
        <w:t>tate</w:t>
      </w:r>
      <w:r w:rsidRPr="00143F7D">
        <w:rPr>
          <w:rFonts w:hint="eastAsia"/>
          <w:b/>
        </w:rPr>
        <w:t xml:space="preserve"> </w:t>
      </w:r>
      <w:r>
        <w:rPr>
          <w:b/>
        </w:rPr>
        <w:t>actors responsible for the implementation of the Covenant</w:t>
      </w:r>
      <w:r>
        <w:rPr>
          <w:rFonts w:eastAsia="Malgun Gothic" w:hint="eastAsia"/>
          <w:b/>
          <w:lang w:eastAsia="ko-KR"/>
        </w:rPr>
        <w:t>, such as labo</w:t>
      </w:r>
      <w:r>
        <w:rPr>
          <w:rFonts w:eastAsia="Malgun Gothic"/>
          <w:b/>
          <w:lang w:eastAsia="ko-KR"/>
        </w:rPr>
        <w:t>u</w:t>
      </w:r>
      <w:r>
        <w:rPr>
          <w:rFonts w:eastAsia="Malgun Gothic" w:hint="eastAsia"/>
          <w:b/>
          <w:lang w:eastAsia="ko-KR"/>
        </w:rPr>
        <w:t>r inspectors, social workers, health personnel and teachers,</w:t>
      </w:r>
      <w:r>
        <w:rPr>
          <w:b/>
        </w:rPr>
        <w:t xml:space="preserve"> and among rights holders</w:t>
      </w:r>
      <w:r w:rsidR="00B968B7">
        <w:rPr>
          <w:b/>
        </w:rPr>
        <w:t>;</w:t>
      </w:r>
      <w:r w:rsidR="00597D4D" w:rsidRPr="00597D4D">
        <w:rPr>
          <w:b/>
        </w:rPr>
        <w:t xml:space="preserve"> </w:t>
      </w:r>
    </w:p>
    <w:p w14:paraId="316E27CB" w14:textId="4AE155EF" w:rsidR="00143F7D" w:rsidRPr="00D32D99" w:rsidRDefault="00597D4D" w:rsidP="00143F7D">
      <w:pPr>
        <w:pStyle w:val="SingleTxtG"/>
        <w:rPr>
          <w:b/>
          <w:bCs/>
          <w:color w:val="0070C0"/>
        </w:rPr>
      </w:pPr>
      <w:r>
        <w:rPr>
          <w:b/>
        </w:rPr>
        <w:tab/>
      </w:r>
      <w:r w:rsidRPr="00A35E98">
        <w:rPr>
          <w:b/>
        </w:rPr>
        <w:t>(</w:t>
      </w:r>
      <w:r w:rsidR="00ED0A11">
        <w:rPr>
          <w:b/>
        </w:rPr>
        <w:t>c</w:t>
      </w:r>
      <w:r w:rsidRPr="00A35E98">
        <w:rPr>
          <w:b/>
        </w:rPr>
        <w:t>)</w:t>
      </w:r>
      <w:r w:rsidRPr="00A35E98">
        <w:rPr>
          <w:b/>
        </w:rPr>
        <w:tab/>
      </w:r>
      <w:r w:rsidR="00555D59">
        <w:rPr>
          <w:b/>
        </w:rPr>
        <w:t>P</w:t>
      </w:r>
      <w:r w:rsidR="00ED0A11">
        <w:rPr>
          <w:b/>
        </w:rPr>
        <w:t xml:space="preserve">ursue </w:t>
      </w:r>
      <w:r w:rsidR="00E46E80">
        <w:rPr>
          <w:b/>
        </w:rPr>
        <w:t xml:space="preserve">the </w:t>
      </w:r>
      <w:r w:rsidR="00ED0A11">
        <w:rPr>
          <w:b/>
        </w:rPr>
        <w:t xml:space="preserve">plans to ratify </w:t>
      </w:r>
      <w:r w:rsidRPr="00A35E98">
        <w:rPr>
          <w:b/>
        </w:rPr>
        <w:t>the Optional Protocol to the Covenant</w:t>
      </w:r>
      <w:r w:rsidR="00B968B7">
        <w:rPr>
          <w:b/>
        </w:rPr>
        <w:t>.</w:t>
      </w:r>
    </w:p>
    <w:p w14:paraId="1E550B38" w14:textId="7F7FF90B" w:rsidR="004F59D2" w:rsidRDefault="004F59D2" w:rsidP="004F59D2">
      <w:pPr>
        <w:pStyle w:val="H23G"/>
      </w:pPr>
      <w:r>
        <w:tab/>
      </w:r>
      <w:r>
        <w:tab/>
      </w:r>
      <w:r w:rsidRPr="009C5C5E">
        <w:t xml:space="preserve">State party’s obligations </w:t>
      </w:r>
    </w:p>
    <w:p w14:paraId="3F9C347E" w14:textId="27206B32" w:rsidR="004F59D2" w:rsidRDefault="004F59D2" w:rsidP="00442AD1">
      <w:pPr>
        <w:pStyle w:val="SingleTxtG"/>
        <w:numPr>
          <w:ilvl w:val="0"/>
          <w:numId w:val="32"/>
        </w:numPr>
        <w:tabs>
          <w:tab w:val="clear" w:pos="1701"/>
          <w:tab w:val="clear" w:pos="2268"/>
          <w:tab w:val="clear" w:pos="2835"/>
        </w:tabs>
        <w:ind w:left="1134" w:firstLine="0"/>
      </w:pPr>
      <w:r w:rsidRPr="00CD1413">
        <w:t>The Committee is concerned a</w:t>
      </w:r>
      <w:r w:rsidR="006A1BD0">
        <w:t>bou</w:t>
      </w:r>
      <w:r w:rsidRPr="00CD1413">
        <w:t xml:space="preserve">t </w:t>
      </w:r>
      <w:r>
        <w:t xml:space="preserve">regional disparities in access to social services due to </w:t>
      </w:r>
      <w:r w:rsidRPr="00CD1413">
        <w:t xml:space="preserve">the low and varying levels of financial and administrative capacity of </w:t>
      </w:r>
      <w:r>
        <w:t xml:space="preserve">local </w:t>
      </w:r>
      <w:r w:rsidRPr="00CD1413">
        <w:t xml:space="preserve">governments </w:t>
      </w:r>
      <w:r w:rsidR="006A1BD0">
        <w:t>and the</w:t>
      </w:r>
      <w:r w:rsidRPr="00CD1413">
        <w:t xml:space="preserve"> lack of coordination between </w:t>
      </w:r>
      <w:r>
        <w:t xml:space="preserve">national </w:t>
      </w:r>
      <w:r w:rsidRPr="00CD1413">
        <w:t xml:space="preserve">and </w:t>
      </w:r>
      <w:r>
        <w:t>local</w:t>
      </w:r>
      <w:r w:rsidRPr="00CD1413">
        <w:t xml:space="preserve"> governments</w:t>
      </w:r>
      <w:r>
        <w:t xml:space="preserve">. While noting </w:t>
      </w:r>
      <w:r w:rsidR="00ED0A11">
        <w:t xml:space="preserve">numerous </w:t>
      </w:r>
      <w:r>
        <w:t>legislati</w:t>
      </w:r>
      <w:r w:rsidR="006A1BD0">
        <w:t xml:space="preserve">ve and policy measures </w:t>
      </w:r>
      <w:r>
        <w:t xml:space="preserve">adopted in </w:t>
      </w:r>
      <w:r w:rsidR="006A1BD0">
        <w:t>the</w:t>
      </w:r>
      <w:r>
        <w:t xml:space="preserve"> areas relating to the Covenant rights, </w:t>
      </w:r>
      <w:r w:rsidR="00ED0A11">
        <w:t xml:space="preserve">the Committee is </w:t>
      </w:r>
      <w:r>
        <w:t xml:space="preserve">concerned about the lack of </w:t>
      </w:r>
      <w:r w:rsidR="00555D59">
        <w:t>incorporation of</w:t>
      </w:r>
      <w:r>
        <w:t xml:space="preserve"> economic, social and cultural rights implications in formulating and implementing such measures (art. 2 (1)).</w:t>
      </w:r>
    </w:p>
    <w:p w14:paraId="669694BF" w14:textId="022F065D" w:rsidR="004F59D2" w:rsidRPr="00263169" w:rsidRDefault="004F59D2" w:rsidP="00442AD1">
      <w:pPr>
        <w:pStyle w:val="SingleTxtG"/>
        <w:numPr>
          <w:ilvl w:val="0"/>
          <w:numId w:val="32"/>
        </w:numPr>
        <w:tabs>
          <w:tab w:val="clear" w:pos="1701"/>
          <w:tab w:val="clear" w:pos="2268"/>
          <w:tab w:val="clear" w:pos="2835"/>
        </w:tabs>
        <w:ind w:left="1134" w:firstLine="0"/>
        <w:rPr>
          <w:b/>
        </w:rPr>
      </w:pPr>
      <w:r w:rsidRPr="00263169">
        <w:rPr>
          <w:b/>
        </w:rPr>
        <w:t xml:space="preserve">The Committee recommends that the State party take all measures necessary to: </w:t>
      </w:r>
    </w:p>
    <w:p w14:paraId="39D54E76" w14:textId="650DFFEC" w:rsidR="004F59D2" w:rsidRPr="00263169" w:rsidRDefault="004F59D2" w:rsidP="004F59D2">
      <w:pPr>
        <w:pStyle w:val="SingleTxtG"/>
        <w:rPr>
          <w:b/>
        </w:rPr>
      </w:pPr>
      <w:r w:rsidRPr="00263169">
        <w:rPr>
          <w:b/>
        </w:rPr>
        <w:tab/>
        <w:t>(a)</w:t>
      </w:r>
      <w:r w:rsidRPr="00263169">
        <w:rPr>
          <w:b/>
        </w:rPr>
        <w:tab/>
        <w:t>Strengthen the financial and administrative capacity of local governments with a view to ensuring that people in the State party enjoy Covenant rights on an equal basis</w:t>
      </w:r>
      <w:r w:rsidR="009E3E26" w:rsidRPr="00263169">
        <w:rPr>
          <w:b/>
        </w:rPr>
        <w:t xml:space="preserve"> regardless of their place of residence</w:t>
      </w:r>
      <w:r w:rsidRPr="00263169">
        <w:rPr>
          <w:b/>
        </w:rPr>
        <w:t>;</w:t>
      </w:r>
    </w:p>
    <w:p w14:paraId="2C319823" w14:textId="0421E236" w:rsidR="004F59D2" w:rsidRDefault="004F59D2" w:rsidP="004F59D2">
      <w:pPr>
        <w:pStyle w:val="SingleTxtG"/>
        <w:rPr>
          <w:b/>
        </w:rPr>
      </w:pPr>
      <w:r w:rsidRPr="00263169">
        <w:rPr>
          <w:b/>
        </w:rPr>
        <w:tab/>
        <w:t>(b)</w:t>
      </w:r>
      <w:r w:rsidRPr="00263169">
        <w:rPr>
          <w:b/>
        </w:rPr>
        <w:tab/>
        <w:t>Systematize a human rights impact assessment in the process of formulating legislati</w:t>
      </w:r>
      <w:r w:rsidR="009E3E26">
        <w:rPr>
          <w:b/>
        </w:rPr>
        <w:t>on</w:t>
      </w:r>
      <w:r w:rsidRPr="00263169">
        <w:rPr>
          <w:b/>
        </w:rPr>
        <w:t xml:space="preserve"> and polic</w:t>
      </w:r>
      <w:r w:rsidR="009E3E26">
        <w:rPr>
          <w:b/>
        </w:rPr>
        <w:t>ies</w:t>
      </w:r>
      <w:r w:rsidRPr="00263169">
        <w:rPr>
          <w:b/>
        </w:rPr>
        <w:t xml:space="preserve"> in the areas </w:t>
      </w:r>
      <w:r w:rsidR="009E3E26">
        <w:rPr>
          <w:b/>
        </w:rPr>
        <w:t>of economic, social and cultural</w:t>
      </w:r>
      <w:r w:rsidRPr="00263169">
        <w:rPr>
          <w:b/>
        </w:rPr>
        <w:t xml:space="preserve"> rights;</w:t>
      </w:r>
    </w:p>
    <w:p w14:paraId="238BA079" w14:textId="041AE3F5" w:rsidR="00263169" w:rsidRPr="004F59D2" w:rsidRDefault="004F59D2" w:rsidP="004F59D2">
      <w:pPr>
        <w:pStyle w:val="SingleTxtG"/>
        <w:rPr>
          <w:b/>
        </w:rPr>
      </w:pPr>
      <w:r>
        <w:rPr>
          <w:b/>
        </w:rPr>
        <w:tab/>
      </w:r>
      <w:r w:rsidRPr="00263169">
        <w:rPr>
          <w:b/>
        </w:rPr>
        <w:t>(c)</w:t>
      </w:r>
      <w:r w:rsidRPr="00263169">
        <w:rPr>
          <w:b/>
        </w:rPr>
        <w:tab/>
        <w:t>Ensure meaningful participation and consultation with affected individuals and groups with sufficient timeframes.</w:t>
      </w:r>
    </w:p>
    <w:p w14:paraId="4B5F647B" w14:textId="687D21EE" w:rsidR="00FA01A8" w:rsidRDefault="00FA01A8" w:rsidP="00FA01A8">
      <w:pPr>
        <w:pStyle w:val="H23G"/>
      </w:pPr>
      <w:r>
        <w:tab/>
      </w:r>
      <w:r>
        <w:tab/>
        <w:t>Judiciary</w:t>
      </w:r>
    </w:p>
    <w:p w14:paraId="259EAE5C" w14:textId="48549B50" w:rsidR="00FA01A8" w:rsidRPr="001E09B0" w:rsidRDefault="00ED0A11" w:rsidP="00442AD1">
      <w:pPr>
        <w:pStyle w:val="SingleTxtG"/>
        <w:numPr>
          <w:ilvl w:val="0"/>
          <w:numId w:val="32"/>
        </w:numPr>
        <w:tabs>
          <w:tab w:val="clear" w:pos="1701"/>
          <w:tab w:val="clear" w:pos="2268"/>
          <w:tab w:val="clear" w:pos="2835"/>
        </w:tabs>
        <w:ind w:left="1134" w:firstLine="0"/>
        <w:rPr>
          <w:bCs/>
        </w:rPr>
      </w:pPr>
      <w:r>
        <w:t xml:space="preserve">The </w:t>
      </w:r>
      <w:r w:rsidR="00112904">
        <w:t xml:space="preserve">Committee </w:t>
      </w:r>
      <w:r w:rsidR="00112904">
        <w:rPr>
          <w:bCs/>
        </w:rPr>
        <w:t>notes</w:t>
      </w:r>
      <w:r w:rsidR="00AC7B13">
        <w:rPr>
          <w:bCs/>
        </w:rPr>
        <w:t xml:space="preserve"> the constitutional referendum held on 16 January 2022 and other steps taken </w:t>
      </w:r>
      <w:r w:rsidR="00FA01A8">
        <w:rPr>
          <w:bCs/>
        </w:rPr>
        <w:t xml:space="preserve">to </w:t>
      </w:r>
      <w:r w:rsidR="00AC7B13">
        <w:rPr>
          <w:bCs/>
        </w:rPr>
        <w:t>strengthen</w:t>
      </w:r>
      <w:r w:rsidR="00FA01A8">
        <w:rPr>
          <w:bCs/>
        </w:rPr>
        <w:t xml:space="preserve"> the </w:t>
      </w:r>
      <w:r w:rsidR="00AC7B13">
        <w:rPr>
          <w:bCs/>
        </w:rPr>
        <w:t xml:space="preserve">independence of the </w:t>
      </w:r>
      <w:r w:rsidR="00FA01A8">
        <w:rPr>
          <w:bCs/>
        </w:rPr>
        <w:t>judiciary</w:t>
      </w:r>
      <w:r>
        <w:rPr>
          <w:bCs/>
        </w:rPr>
        <w:t>.</w:t>
      </w:r>
      <w:r w:rsidR="00112904">
        <w:rPr>
          <w:bCs/>
        </w:rPr>
        <w:t xml:space="preserve"> </w:t>
      </w:r>
      <w:r w:rsidR="005B7311">
        <w:rPr>
          <w:bCs/>
        </w:rPr>
        <w:t>However, t</w:t>
      </w:r>
      <w:r w:rsidR="00AC7B13">
        <w:rPr>
          <w:bCs/>
        </w:rPr>
        <w:t>he Committee</w:t>
      </w:r>
      <w:r w:rsidR="005B7311">
        <w:rPr>
          <w:bCs/>
        </w:rPr>
        <w:t xml:space="preserve"> remains concerned</w:t>
      </w:r>
      <w:r w:rsidR="00AC7B13">
        <w:rPr>
          <w:bCs/>
        </w:rPr>
        <w:t xml:space="preserve"> about the </w:t>
      </w:r>
      <w:r w:rsidR="00574B9E">
        <w:rPr>
          <w:bCs/>
        </w:rPr>
        <w:t>potential political influence on the work of the prosecution due to the</w:t>
      </w:r>
      <w:r w:rsidR="009E3E26">
        <w:rPr>
          <w:bCs/>
        </w:rPr>
        <w:t xml:space="preserve"> </w:t>
      </w:r>
      <w:r w:rsidR="00574B9E">
        <w:rPr>
          <w:bCs/>
        </w:rPr>
        <w:t xml:space="preserve">election process of prosecutors and the composition of the High Prosecutorial Council, which are not in compliance </w:t>
      </w:r>
      <w:r>
        <w:rPr>
          <w:bCs/>
        </w:rPr>
        <w:t>with</w:t>
      </w:r>
      <w:r w:rsidR="00574B9E">
        <w:rPr>
          <w:bCs/>
        </w:rPr>
        <w:t xml:space="preserve"> international standards</w:t>
      </w:r>
      <w:r w:rsidR="004F59D2">
        <w:rPr>
          <w:bCs/>
        </w:rPr>
        <w:t xml:space="preserve"> </w:t>
      </w:r>
      <w:r w:rsidR="004F59D2">
        <w:t>(art. 2 (1))</w:t>
      </w:r>
      <w:r w:rsidR="00574B9E">
        <w:rPr>
          <w:bCs/>
        </w:rPr>
        <w:t>.</w:t>
      </w:r>
    </w:p>
    <w:p w14:paraId="5393B392" w14:textId="5E6D1848" w:rsidR="00FA01A8" w:rsidRPr="00911D03" w:rsidRDefault="00FA01A8" w:rsidP="00442AD1">
      <w:pPr>
        <w:pStyle w:val="SingleTxtG"/>
        <w:numPr>
          <w:ilvl w:val="0"/>
          <w:numId w:val="32"/>
        </w:numPr>
        <w:tabs>
          <w:tab w:val="clear" w:pos="1701"/>
          <w:tab w:val="clear" w:pos="2268"/>
          <w:tab w:val="clear" w:pos="2835"/>
        </w:tabs>
        <w:ind w:left="1134" w:firstLine="0"/>
        <w:rPr>
          <w:b/>
        </w:rPr>
      </w:pPr>
      <w:r w:rsidRPr="00911D03">
        <w:rPr>
          <w:b/>
        </w:rPr>
        <w:t>The Committee recommends</w:t>
      </w:r>
      <w:r w:rsidR="00A35E98" w:rsidRPr="00911D03">
        <w:rPr>
          <w:b/>
        </w:rPr>
        <w:t xml:space="preserve"> that the State party intensify its efforts to enhance the independence and effective functioning of the judiciary as a means of safeguarding the enjoyment of economic, social and cultural rights. It also urges the State party to improve the election process of prosecutors and the composition of the High Prosecutorial Council in line with international human rights norms and best practice with a view to guaranteeing that </w:t>
      </w:r>
      <w:r w:rsidR="00911D03" w:rsidRPr="00911D03">
        <w:rPr>
          <w:b/>
        </w:rPr>
        <w:t xml:space="preserve">the prosecutors fulfil their functions </w:t>
      </w:r>
      <w:r w:rsidR="00A35E98" w:rsidRPr="00911D03">
        <w:rPr>
          <w:b/>
        </w:rPr>
        <w:t xml:space="preserve">independently </w:t>
      </w:r>
      <w:r w:rsidR="00911D03" w:rsidRPr="00911D03">
        <w:rPr>
          <w:b/>
        </w:rPr>
        <w:t>and accountably</w:t>
      </w:r>
      <w:r w:rsidR="00A35E98" w:rsidRPr="00911D03">
        <w:rPr>
          <w:b/>
        </w:rPr>
        <w:t>.</w:t>
      </w:r>
    </w:p>
    <w:p w14:paraId="57F38A79" w14:textId="77777777" w:rsidR="00574B9E" w:rsidRDefault="00574B9E" w:rsidP="00574B9E">
      <w:pPr>
        <w:pStyle w:val="H23G"/>
      </w:pPr>
      <w:r>
        <w:tab/>
      </w:r>
      <w:r>
        <w:tab/>
      </w:r>
      <w:r>
        <w:tab/>
        <w:t>Free legal aid</w:t>
      </w:r>
    </w:p>
    <w:p w14:paraId="35143BEB" w14:textId="3F925291" w:rsidR="00574B9E" w:rsidRDefault="00574B9E" w:rsidP="00442AD1">
      <w:pPr>
        <w:pStyle w:val="SingleTxtG"/>
        <w:numPr>
          <w:ilvl w:val="0"/>
          <w:numId w:val="32"/>
        </w:numPr>
        <w:tabs>
          <w:tab w:val="clear" w:pos="1701"/>
          <w:tab w:val="clear" w:pos="2268"/>
          <w:tab w:val="clear" w:pos="2835"/>
        </w:tabs>
        <w:ind w:left="1134" w:firstLine="0"/>
        <w:rPr>
          <w:bCs/>
        </w:rPr>
      </w:pPr>
      <w:r>
        <w:t xml:space="preserve">While welcoming the adoption of </w:t>
      </w:r>
      <w:r w:rsidR="00ED0A11">
        <w:t xml:space="preserve">the </w:t>
      </w:r>
      <w:r>
        <w:t>Free Legal Aid</w:t>
      </w:r>
      <w:r w:rsidR="009E3E26">
        <w:t xml:space="preserve"> Act</w:t>
      </w:r>
      <w:r>
        <w:t>, t</w:t>
      </w:r>
      <w:r w:rsidRPr="001E09B0">
        <w:rPr>
          <w:bCs/>
        </w:rPr>
        <w:t xml:space="preserve">he Committee </w:t>
      </w:r>
      <w:r>
        <w:rPr>
          <w:bCs/>
        </w:rPr>
        <w:t xml:space="preserve">is concerned about: </w:t>
      </w:r>
    </w:p>
    <w:p w14:paraId="644B78CA" w14:textId="6B97D896" w:rsidR="00574B9E" w:rsidRDefault="00574B9E" w:rsidP="00574B9E">
      <w:pPr>
        <w:pStyle w:val="SingleTxtG"/>
        <w:rPr>
          <w:bCs/>
        </w:rPr>
      </w:pPr>
      <w:r>
        <w:rPr>
          <w:bCs/>
        </w:rPr>
        <w:tab/>
        <w:t>(a)</w:t>
      </w:r>
      <w:r>
        <w:rPr>
          <w:bCs/>
        </w:rPr>
        <w:tab/>
        <w:t xml:space="preserve">The insufficient and uneven provision of free legal aid </w:t>
      </w:r>
      <w:r w:rsidR="00911B2F">
        <w:rPr>
          <w:bCs/>
        </w:rPr>
        <w:t xml:space="preserve">service </w:t>
      </w:r>
      <w:r>
        <w:rPr>
          <w:bCs/>
        </w:rPr>
        <w:t>by local governments</w:t>
      </w:r>
      <w:r w:rsidR="009E3E26">
        <w:rPr>
          <w:bCs/>
        </w:rPr>
        <w:t>;</w:t>
      </w:r>
    </w:p>
    <w:p w14:paraId="3E65D618" w14:textId="10C591AA" w:rsidR="00574B9E" w:rsidRDefault="00574B9E" w:rsidP="00574B9E">
      <w:pPr>
        <w:pStyle w:val="SingleTxtG"/>
        <w:rPr>
          <w:bCs/>
        </w:rPr>
      </w:pPr>
      <w:r>
        <w:rPr>
          <w:bCs/>
        </w:rPr>
        <w:tab/>
        <w:t>(b)</w:t>
      </w:r>
      <w:r>
        <w:rPr>
          <w:bCs/>
        </w:rPr>
        <w:tab/>
        <w:t xml:space="preserve">The lack of clarity on the procedure for civil society organizations to provide </w:t>
      </w:r>
      <w:r w:rsidR="009E3E26">
        <w:rPr>
          <w:bCs/>
        </w:rPr>
        <w:t>free legal aid</w:t>
      </w:r>
      <w:r>
        <w:rPr>
          <w:bCs/>
        </w:rPr>
        <w:t xml:space="preserve"> under the Law, which </w:t>
      </w:r>
      <w:r w:rsidR="00F021DA">
        <w:rPr>
          <w:bCs/>
        </w:rPr>
        <w:t>has</w:t>
      </w:r>
      <w:r w:rsidR="00E46E80">
        <w:rPr>
          <w:bCs/>
        </w:rPr>
        <w:t xml:space="preserve"> </w:t>
      </w:r>
      <w:r>
        <w:rPr>
          <w:bCs/>
        </w:rPr>
        <w:t>effectively impede</w:t>
      </w:r>
      <w:r w:rsidR="005B7311">
        <w:rPr>
          <w:bCs/>
        </w:rPr>
        <w:t>d</w:t>
      </w:r>
      <w:r>
        <w:rPr>
          <w:bCs/>
        </w:rPr>
        <w:t xml:space="preserve"> access to free legal aid by those who are most in need;</w:t>
      </w:r>
    </w:p>
    <w:p w14:paraId="63D32218" w14:textId="3BADCC6E" w:rsidR="00574B9E" w:rsidRDefault="00574B9E" w:rsidP="00574B9E">
      <w:pPr>
        <w:pStyle w:val="SingleTxtG"/>
        <w:rPr>
          <w:bCs/>
        </w:rPr>
      </w:pPr>
      <w:r>
        <w:rPr>
          <w:bCs/>
        </w:rPr>
        <w:tab/>
        <w:t>(c)</w:t>
      </w:r>
      <w:r>
        <w:rPr>
          <w:bCs/>
        </w:rPr>
        <w:tab/>
        <w:t xml:space="preserve">The lack of awareness, particularly among disadvantaged and marginalized </w:t>
      </w:r>
      <w:r w:rsidR="00442F7E">
        <w:rPr>
          <w:bCs/>
        </w:rPr>
        <w:t>individuals and groups</w:t>
      </w:r>
      <w:r>
        <w:rPr>
          <w:bCs/>
        </w:rPr>
        <w:t xml:space="preserve">, of the availability of free legal aid and the </w:t>
      </w:r>
      <w:r w:rsidR="005341A9">
        <w:rPr>
          <w:bCs/>
        </w:rPr>
        <w:t xml:space="preserve">application </w:t>
      </w:r>
      <w:r>
        <w:rPr>
          <w:bCs/>
        </w:rPr>
        <w:t>procedure</w:t>
      </w:r>
      <w:r w:rsidR="004F59D2">
        <w:rPr>
          <w:bCs/>
        </w:rPr>
        <w:t xml:space="preserve"> </w:t>
      </w:r>
      <w:r w:rsidR="004F59D2">
        <w:t>(art. 2 (1))</w:t>
      </w:r>
      <w:r>
        <w:rPr>
          <w:bCs/>
        </w:rPr>
        <w:t>.</w:t>
      </w:r>
    </w:p>
    <w:p w14:paraId="35CFE895" w14:textId="58D8FBB6" w:rsidR="00574B9E" w:rsidRPr="004F5DD4" w:rsidRDefault="00574B9E" w:rsidP="00442AD1">
      <w:pPr>
        <w:pStyle w:val="SingleTxtG"/>
        <w:numPr>
          <w:ilvl w:val="0"/>
          <w:numId w:val="32"/>
        </w:numPr>
        <w:tabs>
          <w:tab w:val="clear" w:pos="1701"/>
          <w:tab w:val="clear" w:pos="2268"/>
          <w:tab w:val="clear" w:pos="2835"/>
        </w:tabs>
        <w:ind w:left="1134" w:firstLine="0"/>
        <w:rPr>
          <w:b/>
        </w:rPr>
      </w:pPr>
      <w:r w:rsidRPr="004F5DD4">
        <w:rPr>
          <w:b/>
        </w:rPr>
        <w:t xml:space="preserve">The Committee </w:t>
      </w:r>
      <w:r w:rsidR="004F5DD4">
        <w:rPr>
          <w:b/>
        </w:rPr>
        <w:t>urges the State party to intensify its efforts to make free legal aid available and accessible to all persons in need. In particular, it recommends that the State party</w:t>
      </w:r>
      <w:r w:rsidR="00911D03" w:rsidRPr="004F5DD4">
        <w:rPr>
          <w:b/>
        </w:rPr>
        <w:t>:</w:t>
      </w:r>
    </w:p>
    <w:p w14:paraId="35672757" w14:textId="163AD29E" w:rsidR="004F5DD4" w:rsidRDefault="00911D03" w:rsidP="00AA4408">
      <w:pPr>
        <w:pStyle w:val="SingleTxtG"/>
        <w:rPr>
          <w:b/>
        </w:rPr>
      </w:pPr>
      <w:r w:rsidRPr="004F5DD4">
        <w:rPr>
          <w:b/>
        </w:rPr>
        <w:lastRenderedPageBreak/>
        <w:tab/>
        <w:t>(a)</w:t>
      </w:r>
      <w:r w:rsidRPr="004F5DD4">
        <w:rPr>
          <w:b/>
        </w:rPr>
        <w:tab/>
      </w:r>
      <w:r w:rsidR="004F5DD4">
        <w:rPr>
          <w:b/>
        </w:rPr>
        <w:t xml:space="preserve">Ensure that </w:t>
      </w:r>
      <w:r w:rsidR="005341A9">
        <w:rPr>
          <w:b/>
        </w:rPr>
        <w:t xml:space="preserve">the eligible persons </w:t>
      </w:r>
      <w:r w:rsidR="00911B2F">
        <w:rPr>
          <w:b/>
        </w:rPr>
        <w:t xml:space="preserve">receive </w:t>
      </w:r>
      <w:r w:rsidR="005341A9">
        <w:rPr>
          <w:b/>
        </w:rPr>
        <w:t xml:space="preserve">quality </w:t>
      </w:r>
      <w:r w:rsidR="004F5DD4">
        <w:rPr>
          <w:b/>
        </w:rPr>
        <w:t xml:space="preserve">free legal aid </w:t>
      </w:r>
      <w:r w:rsidR="005341A9">
        <w:rPr>
          <w:b/>
        </w:rPr>
        <w:t>regardless of their place of residence by strengthening the capacity of local governments;</w:t>
      </w:r>
    </w:p>
    <w:p w14:paraId="6C80B8F5" w14:textId="53F25F05" w:rsidR="004F5DD4" w:rsidRDefault="004F5DD4" w:rsidP="00AA4408">
      <w:pPr>
        <w:pStyle w:val="SingleTxtG"/>
        <w:rPr>
          <w:b/>
        </w:rPr>
      </w:pPr>
      <w:r>
        <w:rPr>
          <w:b/>
        </w:rPr>
        <w:tab/>
        <w:t>(b)</w:t>
      </w:r>
      <w:r>
        <w:rPr>
          <w:b/>
        </w:rPr>
        <w:tab/>
        <w:t xml:space="preserve">Provide clear guidelines </w:t>
      </w:r>
      <w:r w:rsidR="005341A9">
        <w:rPr>
          <w:b/>
        </w:rPr>
        <w:t xml:space="preserve">to local authorities as to </w:t>
      </w:r>
      <w:r>
        <w:rPr>
          <w:b/>
        </w:rPr>
        <w:t>the procedure for the provision of free legal aid by civil society organizations</w:t>
      </w:r>
      <w:r w:rsidR="005341A9">
        <w:rPr>
          <w:b/>
        </w:rPr>
        <w:t>, including the eligibility criteria for free legal aid;</w:t>
      </w:r>
    </w:p>
    <w:p w14:paraId="287C1A52" w14:textId="14E8D4FF" w:rsidR="005341A9" w:rsidRDefault="005341A9" w:rsidP="00AA4408">
      <w:pPr>
        <w:pStyle w:val="SingleTxtG"/>
        <w:rPr>
          <w:b/>
        </w:rPr>
      </w:pPr>
      <w:r>
        <w:rPr>
          <w:b/>
        </w:rPr>
        <w:tab/>
        <w:t>(c)</w:t>
      </w:r>
      <w:r>
        <w:rPr>
          <w:b/>
        </w:rPr>
        <w:tab/>
        <w:t>Raise public awareness on the availability of free legal aid and the application procedure, particularly among workers in social welfare centres and disadvantaged and marginalized individuals and groups, including women, young people, persons with disabilities, Roma, refugees, asylum seekers, migrants</w:t>
      </w:r>
      <w:r w:rsidR="007B0166">
        <w:rPr>
          <w:b/>
        </w:rPr>
        <w:t xml:space="preserve">, </w:t>
      </w:r>
      <w:r>
        <w:rPr>
          <w:b/>
        </w:rPr>
        <w:t>internally displaced persons</w:t>
      </w:r>
      <w:r w:rsidR="007B0166">
        <w:rPr>
          <w:b/>
        </w:rPr>
        <w:t>, and victims of human trafficking</w:t>
      </w:r>
      <w:r>
        <w:rPr>
          <w:b/>
        </w:rPr>
        <w:t>.</w:t>
      </w:r>
    </w:p>
    <w:p w14:paraId="04916F43" w14:textId="77777777" w:rsidR="00F81E7F" w:rsidRDefault="00F81E7F" w:rsidP="00F81E7F">
      <w:pPr>
        <w:pStyle w:val="H23G"/>
      </w:pPr>
      <w:r>
        <w:tab/>
      </w:r>
      <w:r>
        <w:tab/>
        <w:t>Data collection</w:t>
      </w:r>
    </w:p>
    <w:p w14:paraId="5A661E3A" w14:textId="22D065F8" w:rsidR="00F81E7F" w:rsidRDefault="00F81E7F" w:rsidP="00442AD1">
      <w:pPr>
        <w:pStyle w:val="SingleTxtG"/>
        <w:numPr>
          <w:ilvl w:val="0"/>
          <w:numId w:val="32"/>
        </w:numPr>
        <w:tabs>
          <w:tab w:val="clear" w:pos="1701"/>
          <w:tab w:val="clear" w:pos="2268"/>
          <w:tab w:val="clear" w:pos="2835"/>
        </w:tabs>
        <w:ind w:left="1134" w:firstLine="0"/>
        <w:rPr>
          <w:bCs/>
        </w:rPr>
      </w:pPr>
      <w:r w:rsidRPr="001E09B0">
        <w:rPr>
          <w:bCs/>
        </w:rPr>
        <w:t>The Committee</w:t>
      </w:r>
      <w:r>
        <w:rPr>
          <w:bCs/>
        </w:rPr>
        <w:t xml:space="preserve"> </w:t>
      </w:r>
      <w:r w:rsidR="00B53854">
        <w:rPr>
          <w:bCs/>
        </w:rPr>
        <w:t xml:space="preserve">is </w:t>
      </w:r>
      <w:r>
        <w:rPr>
          <w:bCs/>
        </w:rPr>
        <w:t xml:space="preserve">concerned </w:t>
      </w:r>
      <w:r w:rsidR="00E62948">
        <w:rPr>
          <w:bCs/>
        </w:rPr>
        <w:t xml:space="preserve">about the </w:t>
      </w:r>
      <w:r w:rsidR="00B53854">
        <w:rPr>
          <w:bCs/>
        </w:rPr>
        <w:t xml:space="preserve">lack of systematic collection </w:t>
      </w:r>
      <w:r w:rsidR="00E62948">
        <w:rPr>
          <w:bCs/>
        </w:rPr>
        <w:t xml:space="preserve">of </w:t>
      </w:r>
      <w:r w:rsidR="00B53854">
        <w:rPr>
          <w:bCs/>
        </w:rPr>
        <w:t>disaggregated data in the areas of economic, social and cultural rights</w:t>
      </w:r>
      <w:r w:rsidR="00E62948">
        <w:rPr>
          <w:bCs/>
        </w:rPr>
        <w:t xml:space="preserve">, </w:t>
      </w:r>
      <w:r w:rsidR="001E5F03">
        <w:rPr>
          <w:bCs/>
        </w:rPr>
        <w:t xml:space="preserve">which hampers </w:t>
      </w:r>
      <w:r w:rsidR="00B53854">
        <w:rPr>
          <w:bCs/>
        </w:rPr>
        <w:t xml:space="preserve">the accurate assessment of the realization of the rights and </w:t>
      </w:r>
      <w:r w:rsidR="001E5F03">
        <w:rPr>
          <w:bCs/>
        </w:rPr>
        <w:t xml:space="preserve">the </w:t>
      </w:r>
      <w:r w:rsidR="00E62948">
        <w:rPr>
          <w:bCs/>
        </w:rPr>
        <w:t>development</w:t>
      </w:r>
      <w:r w:rsidR="00FB7DA0">
        <w:rPr>
          <w:bCs/>
        </w:rPr>
        <w:t xml:space="preserve"> of</w:t>
      </w:r>
      <w:r w:rsidR="001E5F03">
        <w:rPr>
          <w:bCs/>
        </w:rPr>
        <w:t xml:space="preserve"> effective </w:t>
      </w:r>
      <w:r w:rsidR="00FB7DA0">
        <w:rPr>
          <w:bCs/>
        </w:rPr>
        <w:t xml:space="preserve">and targeted </w:t>
      </w:r>
      <w:r w:rsidR="001E5F03">
        <w:rPr>
          <w:bCs/>
        </w:rPr>
        <w:t xml:space="preserve">policies and </w:t>
      </w:r>
      <w:r w:rsidR="00FB7DA0">
        <w:rPr>
          <w:bCs/>
        </w:rPr>
        <w:t>programmes</w:t>
      </w:r>
      <w:r w:rsidR="00B53854">
        <w:rPr>
          <w:bCs/>
        </w:rPr>
        <w:t xml:space="preserve">. </w:t>
      </w:r>
      <w:r w:rsidR="004F59D2">
        <w:t>(art. 2 (1))</w:t>
      </w:r>
      <w:r w:rsidR="001E5F03">
        <w:rPr>
          <w:bCs/>
        </w:rPr>
        <w:t>.</w:t>
      </w:r>
      <w:r w:rsidR="00B53854" w:rsidRPr="00B53854">
        <w:rPr>
          <w:bCs/>
        </w:rPr>
        <w:t xml:space="preserve"> </w:t>
      </w:r>
    </w:p>
    <w:p w14:paraId="111A70C2" w14:textId="5054FAB2" w:rsidR="005603D9" w:rsidRDefault="00F81E7F" w:rsidP="00442AD1">
      <w:pPr>
        <w:pStyle w:val="SingleTxtG"/>
        <w:numPr>
          <w:ilvl w:val="0"/>
          <w:numId w:val="32"/>
        </w:numPr>
        <w:tabs>
          <w:tab w:val="clear" w:pos="1701"/>
          <w:tab w:val="clear" w:pos="2268"/>
          <w:tab w:val="clear" w:pos="2835"/>
        </w:tabs>
        <w:ind w:left="1134" w:firstLine="0"/>
        <w:rPr>
          <w:b/>
        </w:rPr>
      </w:pPr>
      <w:r w:rsidRPr="005603D9">
        <w:rPr>
          <w:b/>
        </w:rPr>
        <w:t>The Committee recommends</w:t>
      </w:r>
      <w:r w:rsidR="005C48EC" w:rsidRPr="005603D9">
        <w:rPr>
          <w:b/>
        </w:rPr>
        <w:t xml:space="preserve"> that the State party</w:t>
      </w:r>
      <w:r w:rsidR="005603D9">
        <w:rPr>
          <w:b/>
        </w:rPr>
        <w:t>:</w:t>
      </w:r>
      <w:r w:rsidR="005C48EC" w:rsidRPr="005603D9">
        <w:rPr>
          <w:b/>
        </w:rPr>
        <w:t xml:space="preserve"> </w:t>
      </w:r>
    </w:p>
    <w:p w14:paraId="457EA49A" w14:textId="1CB9E1B9" w:rsidR="005603D9" w:rsidRDefault="005603D9" w:rsidP="00F81E7F">
      <w:pPr>
        <w:pStyle w:val="SingleTxtG"/>
        <w:rPr>
          <w:b/>
        </w:rPr>
      </w:pPr>
      <w:r>
        <w:rPr>
          <w:b/>
        </w:rPr>
        <w:tab/>
        <w:t>(a)</w:t>
      </w:r>
      <w:r>
        <w:rPr>
          <w:b/>
        </w:rPr>
        <w:tab/>
        <w:t>I</w:t>
      </w:r>
      <w:r w:rsidR="005C48EC" w:rsidRPr="005603D9">
        <w:rPr>
          <w:b/>
        </w:rPr>
        <w:t xml:space="preserve">mprove its system for data collection, management and analysis with a view to regularly tracking progress in the realization of the Covenant rights, </w:t>
      </w:r>
      <w:r w:rsidR="00E62948">
        <w:rPr>
          <w:b/>
        </w:rPr>
        <w:t>developing</w:t>
      </w:r>
      <w:r w:rsidR="00453D19">
        <w:rPr>
          <w:b/>
        </w:rPr>
        <w:t xml:space="preserve"> </w:t>
      </w:r>
      <w:r w:rsidR="005C48EC" w:rsidRPr="005603D9">
        <w:rPr>
          <w:b/>
        </w:rPr>
        <w:t xml:space="preserve">public policies </w:t>
      </w:r>
      <w:r w:rsidR="00E62948">
        <w:rPr>
          <w:b/>
        </w:rPr>
        <w:t>based on</w:t>
      </w:r>
      <w:r w:rsidR="005C48EC" w:rsidRPr="005603D9">
        <w:rPr>
          <w:b/>
        </w:rPr>
        <w:t xml:space="preserve"> evidence and designing targeted measures for d</w:t>
      </w:r>
      <w:r w:rsidR="005C48EC" w:rsidRPr="00D512B1">
        <w:rPr>
          <w:b/>
        </w:rPr>
        <w:t>isadvantaged and marginalized individuals and groups</w:t>
      </w:r>
      <w:r>
        <w:rPr>
          <w:b/>
        </w:rPr>
        <w:t>;</w:t>
      </w:r>
    </w:p>
    <w:p w14:paraId="1AA27C73" w14:textId="770EB5BD" w:rsidR="00F81E7F" w:rsidRPr="005603D9" w:rsidRDefault="005603D9" w:rsidP="00F81E7F">
      <w:pPr>
        <w:pStyle w:val="SingleTxtG"/>
        <w:rPr>
          <w:b/>
        </w:rPr>
      </w:pPr>
      <w:r>
        <w:rPr>
          <w:b/>
        </w:rPr>
        <w:tab/>
        <w:t>(b)</w:t>
      </w:r>
      <w:r>
        <w:rPr>
          <w:b/>
        </w:rPr>
        <w:tab/>
        <w:t>S</w:t>
      </w:r>
      <w:r w:rsidR="005C48EC" w:rsidRPr="005603D9">
        <w:rPr>
          <w:b/>
        </w:rPr>
        <w:t xml:space="preserve">ystematically </w:t>
      </w:r>
      <w:r w:rsidR="005C48EC" w:rsidRPr="00D512B1">
        <w:rPr>
          <w:b/>
        </w:rPr>
        <w:t>collect data</w:t>
      </w:r>
      <w:r w:rsidR="005C48EC">
        <w:rPr>
          <w:b/>
        </w:rPr>
        <w:t xml:space="preserve"> in the areas of economic, social and cultural rights,</w:t>
      </w:r>
      <w:r w:rsidR="005C48EC" w:rsidRPr="00D512B1">
        <w:rPr>
          <w:b/>
        </w:rPr>
        <w:t xml:space="preserve"> disaggregated </w:t>
      </w:r>
      <w:r w:rsidR="005C48EC">
        <w:rPr>
          <w:b/>
        </w:rPr>
        <w:t xml:space="preserve">on the basis of prohibited grounds, including </w:t>
      </w:r>
      <w:r w:rsidR="005C48EC" w:rsidRPr="00D512B1">
        <w:rPr>
          <w:b/>
        </w:rPr>
        <w:t xml:space="preserve">sex, age, </w:t>
      </w:r>
      <w:r w:rsidR="005C48EC">
        <w:rPr>
          <w:b/>
        </w:rPr>
        <w:t xml:space="preserve">disability, </w:t>
      </w:r>
      <w:r w:rsidR="005C48EC" w:rsidRPr="00D512B1">
        <w:rPr>
          <w:b/>
        </w:rPr>
        <w:t>ethnic</w:t>
      </w:r>
      <w:r w:rsidR="005C48EC">
        <w:rPr>
          <w:b/>
        </w:rPr>
        <w:t xml:space="preserve"> origin and</w:t>
      </w:r>
      <w:r w:rsidR="005C48EC" w:rsidRPr="00D512B1">
        <w:rPr>
          <w:b/>
        </w:rPr>
        <w:t xml:space="preserve"> region</w:t>
      </w:r>
      <w:r>
        <w:rPr>
          <w:b/>
        </w:rPr>
        <w:t>, and include such data in its next periodic report;</w:t>
      </w:r>
      <w:r w:rsidR="005C48EC">
        <w:rPr>
          <w:b/>
        </w:rPr>
        <w:t xml:space="preserve"> </w:t>
      </w:r>
    </w:p>
    <w:p w14:paraId="76B1BAC7" w14:textId="516ACB15" w:rsidR="005603D9" w:rsidRDefault="005603D9" w:rsidP="005603D9">
      <w:pPr>
        <w:pStyle w:val="SingleTxtG"/>
        <w:rPr>
          <w:b/>
        </w:rPr>
      </w:pPr>
      <w:r>
        <w:rPr>
          <w:b/>
        </w:rPr>
        <w:tab/>
        <w:t>(c)</w:t>
      </w:r>
      <w:r>
        <w:rPr>
          <w:b/>
        </w:rPr>
        <w:tab/>
        <w:t xml:space="preserve">Take into account the conceptual and methodological framework </w:t>
      </w:r>
      <w:r w:rsidR="00911B2F">
        <w:rPr>
          <w:b/>
        </w:rPr>
        <w:t>on</w:t>
      </w:r>
      <w:r>
        <w:rPr>
          <w:b/>
        </w:rPr>
        <w:t xml:space="preserve"> human rights indicators that was developed by the Office of the United Nations High Commissioner for Human Rights</w:t>
      </w:r>
      <w:r w:rsidR="00911B2F">
        <w:rPr>
          <w:b/>
        </w:rPr>
        <w:t xml:space="preserve"> (HRI/MC/2008/3)</w:t>
      </w:r>
      <w:r>
        <w:rPr>
          <w:b/>
        </w:rPr>
        <w:t>.</w:t>
      </w:r>
    </w:p>
    <w:p w14:paraId="4DEDEBFA" w14:textId="77777777" w:rsidR="00442F7E" w:rsidRDefault="00442F7E" w:rsidP="00442F7E">
      <w:pPr>
        <w:pStyle w:val="H23G"/>
      </w:pPr>
      <w:r>
        <w:tab/>
      </w:r>
      <w:r>
        <w:tab/>
      </w:r>
      <w:r>
        <w:tab/>
        <w:t>National human rights institution</w:t>
      </w:r>
    </w:p>
    <w:p w14:paraId="3B82B761" w14:textId="42C55E83" w:rsidR="00442F7E" w:rsidRDefault="00442F7E" w:rsidP="00442AD1">
      <w:pPr>
        <w:pStyle w:val="SingleTxtG"/>
        <w:numPr>
          <w:ilvl w:val="0"/>
          <w:numId w:val="32"/>
        </w:numPr>
        <w:tabs>
          <w:tab w:val="clear" w:pos="1701"/>
          <w:tab w:val="clear" w:pos="2268"/>
          <w:tab w:val="clear" w:pos="2835"/>
        </w:tabs>
        <w:ind w:left="1134" w:firstLine="0"/>
        <w:rPr>
          <w:bCs/>
        </w:rPr>
      </w:pPr>
      <w:r>
        <w:t>While noting that</w:t>
      </w:r>
      <w:r w:rsidR="00E46E80">
        <w:t xml:space="preserve"> around</w:t>
      </w:r>
      <w:r>
        <w:t xml:space="preserve"> </w:t>
      </w:r>
      <w:r w:rsidR="00E46E80">
        <w:t xml:space="preserve">half </w:t>
      </w:r>
      <w:r>
        <w:t xml:space="preserve"> of </w:t>
      </w:r>
      <w:r w:rsidR="00E46E80">
        <w:t xml:space="preserve">the </w:t>
      </w:r>
      <w:r>
        <w:t xml:space="preserve">individual complaints dealt </w:t>
      </w:r>
      <w:r w:rsidR="00453D19">
        <w:t xml:space="preserve">with </w:t>
      </w:r>
      <w:r>
        <w:t xml:space="preserve">and </w:t>
      </w:r>
      <w:r w:rsidR="00453D19">
        <w:t xml:space="preserve">the </w:t>
      </w:r>
      <w:r>
        <w:t>legislation and policies reviewed by the Protector of Citizens are related to the Covenant rights, t</w:t>
      </w:r>
      <w:r w:rsidRPr="001E09B0">
        <w:rPr>
          <w:bCs/>
        </w:rPr>
        <w:t xml:space="preserve">he Committee </w:t>
      </w:r>
      <w:r>
        <w:rPr>
          <w:bCs/>
        </w:rPr>
        <w:t xml:space="preserve">is concerned </w:t>
      </w:r>
      <w:r w:rsidR="00AD6BFD">
        <w:rPr>
          <w:bCs/>
        </w:rPr>
        <w:t xml:space="preserve">about </w:t>
      </w:r>
      <w:r>
        <w:rPr>
          <w:bCs/>
        </w:rPr>
        <w:t xml:space="preserve">the </w:t>
      </w:r>
      <w:r w:rsidR="00453D19">
        <w:rPr>
          <w:bCs/>
        </w:rPr>
        <w:t>lack</w:t>
      </w:r>
      <w:r>
        <w:rPr>
          <w:bCs/>
        </w:rPr>
        <w:t xml:space="preserve"> of compliance by public authorities with his/hers views and decisions</w:t>
      </w:r>
      <w:r w:rsidR="004F59D2">
        <w:rPr>
          <w:bCs/>
        </w:rPr>
        <w:t xml:space="preserve"> </w:t>
      </w:r>
      <w:r w:rsidR="004F59D2">
        <w:t>(art. 2 (1))</w:t>
      </w:r>
      <w:r>
        <w:rPr>
          <w:bCs/>
        </w:rPr>
        <w:t xml:space="preserve">. </w:t>
      </w:r>
    </w:p>
    <w:p w14:paraId="20C1CABF" w14:textId="3D00574A" w:rsidR="00442F7E" w:rsidRPr="00A84302" w:rsidRDefault="00442F7E" w:rsidP="00442AD1">
      <w:pPr>
        <w:pStyle w:val="SingleTxtG"/>
        <w:numPr>
          <w:ilvl w:val="0"/>
          <w:numId w:val="32"/>
        </w:numPr>
        <w:tabs>
          <w:tab w:val="clear" w:pos="1701"/>
          <w:tab w:val="clear" w:pos="2268"/>
          <w:tab w:val="clear" w:pos="2835"/>
        </w:tabs>
        <w:ind w:left="1134" w:firstLine="0"/>
        <w:rPr>
          <w:b/>
        </w:rPr>
      </w:pPr>
      <w:r w:rsidRPr="00A84302">
        <w:rPr>
          <w:b/>
        </w:rPr>
        <w:t>The Committee recommends</w:t>
      </w:r>
      <w:r w:rsidR="005603D9" w:rsidRPr="00A84302">
        <w:rPr>
          <w:b/>
        </w:rPr>
        <w:t xml:space="preserve"> that the State party take measures necessary to enhance the compliance by the relevant public authorities with the views and decisions of the Protector of Citizens</w:t>
      </w:r>
      <w:r w:rsidR="00453D19">
        <w:rPr>
          <w:b/>
        </w:rPr>
        <w:t>; and</w:t>
      </w:r>
      <w:r w:rsidR="005603D9" w:rsidRPr="00A84302">
        <w:rPr>
          <w:b/>
        </w:rPr>
        <w:t xml:space="preserve"> provide </w:t>
      </w:r>
      <w:r w:rsidR="00453D19">
        <w:rPr>
          <w:b/>
        </w:rPr>
        <w:t xml:space="preserve">his/her Office with </w:t>
      </w:r>
      <w:r w:rsidR="005603D9" w:rsidRPr="00A84302">
        <w:rPr>
          <w:b/>
        </w:rPr>
        <w:t xml:space="preserve">necessary financial and other support to strengthen its expertise in </w:t>
      </w:r>
      <w:r w:rsidR="00453D19">
        <w:rPr>
          <w:b/>
        </w:rPr>
        <w:t>the field of economic, social and cultural rights.</w:t>
      </w:r>
    </w:p>
    <w:p w14:paraId="20F5F6CA" w14:textId="61E39C46" w:rsidR="004D0556" w:rsidRDefault="004D0556" w:rsidP="004D0556">
      <w:pPr>
        <w:pStyle w:val="H23G"/>
      </w:pPr>
      <w:r>
        <w:tab/>
      </w:r>
      <w:r>
        <w:tab/>
      </w:r>
      <w:r w:rsidR="00E62948">
        <w:t>Human rights defenders</w:t>
      </w:r>
    </w:p>
    <w:p w14:paraId="17095DAE" w14:textId="10BD9312" w:rsidR="004D0556" w:rsidRDefault="006574AF" w:rsidP="00442AD1">
      <w:pPr>
        <w:pStyle w:val="SingleTxtG"/>
        <w:numPr>
          <w:ilvl w:val="0"/>
          <w:numId w:val="32"/>
        </w:numPr>
        <w:tabs>
          <w:tab w:val="clear" w:pos="1701"/>
          <w:tab w:val="clear" w:pos="2268"/>
          <w:tab w:val="clear" w:pos="2835"/>
        </w:tabs>
        <w:ind w:left="1134" w:firstLine="0"/>
        <w:rPr>
          <w:bCs/>
        </w:rPr>
      </w:pPr>
      <w:r>
        <w:t>While noting the adoption of t</w:t>
      </w:r>
      <w:r w:rsidRPr="00F41BAB">
        <w:rPr>
          <w:bCs/>
        </w:rPr>
        <w:t>he Strategy for Creating a Stimulating Environment for the Development of Civil Society</w:t>
      </w:r>
      <w:r>
        <w:rPr>
          <w:bCs/>
        </w:rPr>
        <w:t xml:space="preserve"> in Serbia 2020-2030, </w:t>
      </w:r>
      <w:r>
        <w:t>t</w:t>
      </w:r>
      <w:r w:rsidR="004D0556" w:rsidRPr="001E09B0">
        <w:rPr>
          <w:bCs/>
        </w:rPr>
        <w:t xml:space="preserve">he Committee </w:t>
      </w:r>
      <w:r w:rsidR="00453D19">
        <w:rPr>
          <w:bCs/>
        </w:rPr>
        <w:t>is</w:t>
      </w:r>
      <w:r w:rsidR="00EE45BF">
        <w:rPr>
          <w:bCs/>
        </w:rPr>
        <w:t xml:space="preserve"> concerned</w:t>
      </w:r>
      <w:r w:rsidR="00D73DAF">
        <w:rPr>
          <w:bCs/>
        </w:rPr>
        <w:t xml:space="preserve"> at </w:t>
      </w:r>
      <w:r w:rsidR="005B7311">
        <w:rPr>
          <w:bCs/>
        </w:rPr>
        <w:t>repeated allegations</w:t>
      </w:r>
      <w:r w:rsidR="00D73DAF">
        <w:rPr>
          <w:bCs/>
        </w:rPr>
        <w:t xml:space="preserve"> of harassments, intimidation and physical and verbal attacks by </w:t>
      </w:r>
      <w:r w:rsidR="00B34BC7">
        <w:rPr>
          <w:bCs/>
        </w:rPr>
        <w:t xml:space="preserve">both </w:t>
      </w:r>
      <w:r w:rsidR="00D73DAF">
        <w:rPr>
          <w:bCs/>
        </w:rPr>
        <w:t xml:space="preserve">non-state </w:t>
      </w:r>
      <w:r w:rsidR="00B34BC7">
        <w:rPr>
          <w:bCs/>
        </w:rPr>
        <w:t xml:space="preserve">and state </w:t>
      </w:r>
      <w:r w:rsidR="00D73DAF">
        <w:rPr>
          <w:bCs/>
        </w:rPr>
        <w:t xml:space="preserve">actors on human rights defenders advocating economic, social and cultural rights. </w:t>
      </w:r>
      <w:r w:rsidR="00453D19">
        <w:rPr>
          <w:bCs/>
        </w:rPr>
        <w:t>It also</w:t>
      </w:r>
      <w:r w:rsidR="00D73DAF" w:rsidRPr="00574B9E">
        <w:rPr>
          <w:bCs/>
        </w:rPr>
        <w:t xml:space="preserve"> regrets the lack of information provided by the State party as regards investigations carrie</w:t>
      </w:r>
      <w:r w:rsidR="00D61CAA">
        <w:rPr>
          <w:bCs/>
        </w:rPr>
        <w:t>d</w:t>
      </w:r>
      <w:r w:rsidR="00D73DAF" w:rsidRPr="00574B9E">
        <w:rPr>
          <w:bCs/>
        </w:rPr>
        <w:t xml:space="preserve"> out </w:t>
      </w:r>
      <w:r w:rsidR="00D61CAA">
        <w:rPr>
          <w:bCs/>
        </w:rPr>
        <w:t>on</w:t>
      </w:r>
      <w:r w:rsidR="00D73DAF" w:rsidRPr="00574B9E">
        <w:rPr>
          <w:bCs/>
        </w:rPr>
        <w:t xml:space="preserve"> such cases and prosecution of perpetrators</w:t>
      </w:r>
      <w:r w:rsidR="004F59D2">
        <w:rPr>
          <w:bCs/>
        </w:rPr>
        <w:t xml:space="preserve"> </w:t>
      </w:r>
      <w:r w:rsidR="004F59D2">
        <w:t>(art. 2 (1))</w:t>
      </w:r>
      <w:r w:rsidR="00574B9E">
        <w:rPr>
          <w:bCs/>
        </w:rPr>
        <w:t>.</w:t>
      </w:r>
      <w:r w:rsidR="00D73DAF">
        <w:rPr>
          <w:bCs/>
        </w:rPr>
        <w:t xml:space="preserve"> </w:t>
      </w:r>
    </w:p>
    <w:p w14:paraId="5D5B9BD3" w14:textId="085749D3" w:rsidR="004D0556" w:rsidRPr="00CD1413" w:rsidRDefault="004D0556" w:rsidP="00442AD1">
      <w:pPr>
        <w:pStyle w:val="SingleTxtG"/>
        <w:numPr>
          <w:ilvl w:val="0"/>
          <w:numId w:val="32"/>
        </w:numPr>
        <w:tabs>
          <w:tab w:val="clear" w:pos="1701"/>
          <w:tab w:val="clear" w:pos="2268"/>
          <w:tab w:val="clear" w:pos="2835"/>
        </w:tabs>
        <w:ind w:left="1134" w:firstLine="0"/>
        <w:rPr>
          <w:b/>
        </w:rPr>
      </w:pPr>
      <w:r w:rsidRPr="00CD1413">
        <w:rPr>
          <w:b/>
        </w:rPr>
        <w:t>The Committee recommends</w:t>
      </w:r>
      <w:r w:rsidR="00A84302" w:rsidRPr="00CD1413">
        <w:rPr>
          <w:b/>
        </w:rPr>
        <w:t xml:space="preserve"> that the State party:</w:t>
      </w:r>
    </w:p>
    <w:p w14:paraId="2D0DE1B5" w14:textId="397C0130" w:rsidR="00A84302" w:rsidRPr="00CD1413" w:rsidRDefault="00A84302" w:rsidP="004D0556">
      <w:pPr>
        <w:pStyle w:val="SingleTxtG"/>
        <w:rPr>
          <w:b/>
        </w:rPr>
      </w:pPr>
      <w:r w:rsidRPr="00CD1413">
        <w:rPr>
          <w:b/>
        </w:rPr>
        <w:tab/>
        <w:t>(a)</w:t>
      </w:r>
      <w:r w:rsidRPr="00CD1413">
        <w:rPr>
          <w:b/>
        </w:rPr>
        <w:tab/>
        <w:t>Ensur</w:t>
      </w:r>
      <w:r w:rsidR="00CD1413" w:rsidRPr="00CD1413">
        <w:rPr>
          <w:b/>
        </w:rPr>
        <w:t>e</w:t>
      </w:r>
      <w:r w:rsidRPr="00CD1413">
        <w:rPr>
          <w:b/>
        </w:rPr>
        <w:t xml:space="preserve"> that all </w:t>
      </w:r>
      <w:r w:rsidR="00453D19">
        <w:rPr>
          <w:b/>
        </w:rPr>
        <w:t xml:space="preserve">the </w:t>
      </w:r>
      <w:r w:rsidRPr="00CD1413">
        <w:rPr>
          <w:b/>
        </w:rPr>
        <w:t>reported cases of intimidation, harassment and violence against human rights defenders are promptly and thoroughly investigated and the perpetrators are brought to justice;</w:t>
      </w:r>
    </w:p>
    <w:p w14:paraId="6CFACD44" w14:textId="61B6A877" w:rsidR="00A84302" w:rsidRPr="00CD1413" w:rsidRDefault="00A84302" w:rsidP="004D0556">
      <w:pPr>
        <w:pStyle w:val="SingleTxtG"/>
        <w:rPr>
          <w:b/>
        </w:rPr>
      </w:pPr>
      <w:r w:rsidRPr="00CD1413">
        <w:rPr>
          <w:b/>
        </w:rPr>
        <w:tab/>
        <w:t>(b)</w:t>
      </w:r>
      <w:r w:rsidRPr="00CD1413">
        <w:rPr>
          <w:b/>
        </w:rPr>
        <w:tab/>
        <w:t>Tak</w:t>
      </w:r>
      <w:r w:rsidR="00453D19">
        <w:rPr>
          <w:b/>
        </w:rPr>
        <w:t>e</w:t>
      </w:r>
      <w:r w:rsidRPr="00CD1413">
        <w:rPr>
          <w:b/>
        </w:rPr>
        <w:t xml:space="preserve"> </w:t>
      </w:r>
      <w:r w:rsidR="00453D19">
        <w:rPr>
          <w:b/>
        </w:rPr>
        <w:t>effective</w:t>
      </w:r>
      <w:r w:rsidRPr="00CD1413">
        <w:rPr>
          <w:b/>
        </w:rPr>
        <w:t xml:space="preserve"> measures, including through </w:t>
      </w:r>
      <w:r w:rsidR="00B34BC7">
        <w:rPr>
          <w:b/>
        </w:rPr>
        <w:t xml:space="preserve">the </w:t>
      </w:r>
      <w:r w:rsidRPr="00CD1413">
        <w:rPr>
          <w:b/>
        </w:rPr>
        <w:t xml:space="preserve">implementation of the Strategy for Creating a Stimulating Environment for the Development of Civil Society </w:t>
      </w:r>
      <w:r w:rsidRPr="00CD1413">
        <w:rPr>
          <w:b/>
        </w:rPr>
        <w:lastRenderedPageBreak/>
        <w:t>in the Republic of Serbia for the Period 2022–2030</w:t>
      </w:r>
      <w:r w:rsidR="00CD1413" w:rsidRPr="00CD1413">
        <w:rPr>
          <w:b/>
        </w:rPr>
        <w:t>, to protect human rights defenders and provide a safe and favourable environment for the</w:t>
      </w:r>
      <w:r w:rsidR="00735AEE">
        <w:rPr>
          <w:b/>
        </w:rPr>
        <w:t>ir</w:t>
      </w:r>
      <w:r w:rsidR="00CD1413" w:rsidRPr="00CD1413">
        <w:rPr>
          <w:b/>
        </w:rPr>
        <w:t xml:space="preserve"> work;</w:t>
      </w:r>
    </w:p>
    <w:p w14:paraId="1E75CFA9" w14:textId="62CD6162" w:rsidR="00115F23" w:rsidRPr="00CD1413" w:rsidRDefault="00CD1413" w:rsidP="004D0556">
      <w:pPr>
        <w:pStyle w:val="SingleTxtG"/>
        <w:rPr>
          <w:b/>
        </w:rPr>
      </w:pPr>
      <w:r w:rsidRPr="00CD1413">
        <w:rPr>
          <w:b/>
        </w:rPr>
        <w:tab/>
        <w:t>(</w:t>
      </w:r>
      <w:proofErr w:type="gramStart"/>
      <w:r w:rsidRPr="00CD1413">
        <w:rPr>
          <w:b/>
        </w:rPr>
        <w:t>c</w:t>
      </w:r>
      <w:proofErr w:type="gramEnd"/>
      <w:r w:rsidRPr="00CD1413">
        <w:rPr>
          <w:b/>
        </w:rPr>
        <w:t>)</w:t>
      </w:r>
      <w:r w:rsidRPr="00CD1413">
        <w:rPr>
          <w:b/>
        </w:rPr>
        <w:tab/>
        <w:t xml:space="preserve">Take into account of the Committee’s </w:t>
      </w:r>
      <w:r w:rsidR="00A84302" w:rsidRPr="00CD1413">
        <w:rPr>
          <w:b/>
        </w:rPr>
        <w:t>statement on human rights defenders and economic, social and cultural rights (E/C.12/2016/2)</w:t>
      </w:r>
      <w:r w:rsidR="00B36B03">
        <w:rPr>
          <w:b/>
        </w:rPr>
        <w:t>, adopted on 7 October 2016</w:t>
      </w:r>
      <w:r w:rsidRPr="00CD1413">
        <w:rPr>
          <w:b/>
        </w:rPr>
        <w:t>.</w:t>
      </w:r>
    </w:p>
    <w:p w14:paraId="1ECAAB5C" w14:textId="77777777" w:rsidR="008117A6" w:rsidRDefault="008117A6" w:rsidP="008117A6">
      <w:pPr>
        <w:pStyle w:val="H23G"/>
      </w:pPr>
      <w:r>
        <w:tab/>
      </w:r>
      <w:r>
        <w:tab/>
      </w:r>
      <w:r w:rsidRPr="00E62948">
        <w:t>Business and economic, social and cultural rights</w:t>
      </w:r>
    </w:p>
    <w:p w14:paraId="13B4877F" w14:textId="43F4B40B" w:rsidR="00391DCA" w:rsidRDefault="00391DCA" w:rsidP="00442AD1">
      <w:pPr>
        <w:pStyle w:val="SingleTxtG"/>
        <w:numPr>
          <w:ilvl w:val="0"/>
          <w:numId w:val="32"/>
        </w:numPr>
        <w:tabs>
          <w:tab w:val="clear" w:pos="1701"/>
          <w:tab w:val="clear" w:pos="2268"/>
          <w:tab w:val="clear" w:pos="2835"/>
        </w:tabs>
        <w:ind w:left="1134" w:firstLine="0"/>
        <w:rPr>
          <w:bCs/>
        </w:rPr>
      </w:pPr>
      <w:r>
        <w:t>Owing to incidents of human rights abuses from, inter alia, human trafficking, mining operations and work benefits discrimination, involving activities of corporations of the State Party, the Committee notes with grave concern the absence of a policy framework to ensure that business entities respect rights and provide effective remedies under the Covenant.</w:t>
      </w:r>
    </w:p>
    <w:p w14:paraId="1AAC5D63" w14:textId="361F8422" w:rsidR="00320293" w:rsidRPr="000A4052" w:rsidRDefault="008117A6" w:rsidP="00442AD1">
      <w:pPr>
        <w:pStyle w:val="SingleTxtG"/>
        <w:numPr>
          <w:ilvl w:val="0"/>
          <w:numId w:val="32"/>
        </w:numPr>
        <w:tabs>
          <w:tab w:val="clear" w:pos="1701"/>
          <w:tab w:val="clear" w:pos="2268"/>
          <w:tab w:val="clear" w:pos="2835"/>
        </w:tabs>
        <w:ind w:left="1134" w:firstLine="0"/>
        <w:rPr>
          <w:b/>
        </w:rPr>
      </w:pPr>
      <w:r w:rsidRPr="000A4052">
        <w:rPr>
          <w:b/>
        </w:rPr>
        <w:t>The Committee recommends</w:t>
      </w:r>
      <w:r w:rsidR="00320293" w:rsidRPr="000A4052">
        <w:rPr>
          <w:b/>
        </w:rPr>
        <w:t xml:space="preserve"> that the State party </w:t>
      </w:r>
    </w:p>
    <w:p w14:paraId="0C6C9064" w14:textId="33BED00C" w:rsidR="008117A6" w:rsidRPr="000A4052" w:rsidRDefault="00320293" w:rsidP="008117A6">
      <w:pPr>
        <w:pStyle w:val="SingleTxtG"/>
        <w:rPr>
          <w:b/>
        </w:rPr>
      </w:pPr>
      <w:r w:rsidRPr="000A4052">
        <w:rPr>
          <w:b/>
        </w:rPr>
        <w:tab/>
        <w:t>(a)</w:t>
      </w:r>
      <w:r w:rsidRPr="000A4052">
        <w:rPr>
          <w:b/>
        </w:rPr>
        <w:tab/>
      </w:r>
      <w:r w:rsidR="00391DCA">
        <w:rPr>
          <w:b/>
        </w:rPr>
        <w:t>Develop and a</w:t>
      </w:r>
      <w:r w:rsidRPr="000A4052">
        <w:rPr>
          <w:b/>
        </w:rPr>
        <w:t>dopt the national action plan on business and human rights</w:t>
      </w:r>
      <w:r w:rsidR="00B34BC7">
        <w:rPr>
          <w:b/>
        </w:rPr>
        <w:t xml:space="preserve"> to implement the United Nations Guidelines on Business and Human rights</w:t>
      </w:r>
      <w:r w:rsidR="00391DCA">
        <w:rPr>
          <w:b/>
          <w:bCs/>
        </w:rPr>
        <w:t>, which will provide a coherent and systematic framework to identify national priority issues, allocate adequate resources to mitigate and prevent human rights abuses by businesses and provide an effective grievance mechanism to the victims</w:t>
      </w:r>
      <w:r w:rsidR="00B34BC7">
        <w:rPr>
          <w:b/>
        </w:rPr>
        <w:t>;</w:t>
      </w:r>
    </w:p>
    <w:p w14:paraId="287F54C0" w14:textId="2F4FC7ED" w:rsidR="000A4052" w:rsidRPr="000A4052" w:rsidRDefault="000A4052" w:rsidP="008117A6">
      <w:pPr>
        <w:pStyle w:val="SingleTxtG"/>
        <w:rPr>
          <w:b/>
        </w:rPr>
      </w:pPr>
      <w:r w:rsidRPr="000A4052">
        <w:rPr>
          <w:b/>
        </w:rPr>
        <w:tab/>
        <w:t>(b)</w:t>
      </w:r>
      <w:r w:rsidRPr="000A4052">
        <w:rPr>
          <w:b/>
        </w:rPr>
        <w:tab/>
        <w:t>Take appropriate legislative and administrative measures to ensure that business entities</w:t>
      </w:r>
      <w:r w:rsidR="00391DCA">
        <w:rPr>
          <w:b/>
        </w:rPr>
        <w:t xml:space="preserve"> apply</w:t>
      </w:r>
      <w:r w:rsidR="00F021DA">
        <w:rPr>
          <w:b/>
        </w:rPr>
        <w:t xml:space="preserve"> </w:t>
      </w:r>
      <w:r w:rsidRPr="000A4052">
        <w:rPr>
          <w:b/>
        </w:rPr>
        <w:t>human rights due diligence</w:t>
      </w:r>
      <w:r w:rsidR="00391DCA">
        <w:rPr>
          <w:b/>
        </w:rPr>
        <w:t xml:space="preserve"> in their operations and their supply chain</w:t>
      </w:r>
      <w:r w:rsidRPr="000A4052">
        <w:rPr>
          <w:b/>
        </w:rPr>
        <w:t>;</w:t>
      </w:r>
    </w:p>
    <w:p w14:paraId="6128FF3F" w14:textId="3A40239E" w:rsidR="00391DCA" w:rsidRDefault="00320293" w:rsidP="008117A6">
      <w:pPr>
        <w:pStyle w:val="SingleTxtG"/>
        <w:rPr>
          <w:b/>
        </w:rPr>
      </w:pPr>
      <w:r w:rsidRPr="000A4052">
        <w:rPr>
          <w:b/>
        </w:rPr>
        <w:tab/>
        <w:t>(c)</w:t>
      </w:r>
      <w:r w:rsidRPr="000A4052">
        <w:rPr>
          <w:b/>
        </w:rPr>
        <w:tab/>
        <w:t xml:space="preserve">Take all measures necessary to ensure the legal liability of companies </w:t>
      </w:r>
      <w:r w:rsidR="00AD6BFD">
        <w:rPr>
          <w:b/>
        </w:rPr>
        <w:t xml:space="preserve">operating in the State party and those </w:t>
      </w:r>
      <w:r w:rsidRPr="000A4052">
        <w:rPr>
          <w:b/>
        </w:rPr>
        <w:t>based in or managed from the State party’s territory for violations of economic, social and cultural rights resulting from their activities, and to provide adequate remedies to victims</w:t>
      </w:r>
      <w:r w:rsidR="00391DCA">
        <w:rPr>
          <w:b/>
        </w:rPr>
        <w:t>;</w:t>
      </w:r>
    </w:p>
    <w:p w14:paraId="375683C6" w14:textId="15192D09" w:rsidR="00D61CAA" w:rsidRPr="000A4052" w:rsidRDefault="00AD6BFD" w:rsidP="008117A6">
      <w:pPr>
        <w:pStyle w:val="SingleTxtG"/>
        <w:rPr>
          <w:b/>
        </w:rPr>
      </w:pPr>
      <w:r>
        <w:rPr>
          <w:b/>
          <w:bCs/>
        </w:rPr>
        <w:tab/>
      </w:r>
      <w:r w:rsidR="008B2D68">
        <w:rPr>
          <w:b/>
          <w:bCs/>
        </w:rPr>
        <w:t xml:space="preserve">(d) </w:t>
      </w:r>
      <w:r w:rsidR="008B2D68">
        <w:rPr>
          <w:b/>
          <w:bCs/>
        </w:rPr>
        <w:tab/>
      </w:r>
      <w:r w:rsidR="00391DCA">
        <w:rPr>
          <w:b/>
          <w:bCs/>
        </w:rPr>
        <w:t>Be guided by and follow the Committee’s</w:t>
      </w:r>
      <w:r w:rsidR="00D61CAA" w:rsidRPr="00446C61">
        <w:rPr>
          <w:b/>
          <w:bCs/>
        </w:rPr>
        <w:t xml:space="preserve"> general comment No. 24 (2017) on State obligations under the International Covenant on Economic, Social and Cultural Rights in the context of business activities.</w:t>
      </w:r>
    </w:p>
    <w:p w14:paraId="6EBAAD5C" w14:textId="77777777" w:rsidR="000C466A" w:rsidRDefault="000C466A" w:rsidP="000C466A">
      <w:pPr>
        <w:pStyle w:val="H23G"/>
      </w:pPr>
      <w:r>
        <w:tab/>
      </w:r>
      <w:r>
        <w:tab/>
      </w:r>
      <w:r w:rsidRPr="00452056">
        <w:t>COVID-19 pandemic</w:t>
      </w:r>
    </w:p>
    <w:p w14:paraId="0A999CA2" w14:textId="62A1F4F3" w:rsidR="000C466A" w:rsidRDefault="000C466A" w:rsidP="00442AD1">
      <w:pPr>
        <w:pStyle w:val="SingleTxtG"/>
        <w:numPr>
          <w:ilvl w:val="0"/>
          <w:numId w:val="32"/>
        </w:numPr>
        <w:tabs>
          <w:tab w:val="clear" w:pos="1701"/>
          <w:tab w:val="clear" w:pos="2268"/>
          <w:tab w:val="clear" w:pos="2835"/>
        </w:tabs>
        <w:ind w:left="1134" w:firstLine="0"/>
        <w:rPr>
          <w:bCs/>
        </w:rPr>
      </w:pPr>
      <w:r>
        <w:rPr>
          <w:bCs/>
        </w:rPr>
        <w:t xml:space="preserve">The Committee is concerned about: </w:t>
      </w:r>
    </w:p>
    <w:p w14:paraId="421AB038" w14:textId="5C1C4C43" w:rsidR="000C466A" w:rsidRPr="008870BD" w:rsidRDefault="000C466A" w:rsidP="008870BD">
      <w:pPr>
        <w:pStyle w:val="SingleTxtG"/>
      </w:pPr>
      <w:r w:rsidRPr="008870BD">
        <w:tab/>
        <w:t>(a)</w:t>
      </w:r>
      <w:r w:rsidRPr="008870BD">
        <w:tab/>
        <w:t xml:space="preserve">Unequal access to coronavirus vaccination and the constraints on the provision of </w:t>
      </w:r>
      <w:r w:rsidR="00735AEE" w:rsidRPr="008870BD">
        <w:t xml:space="preserve">other </w:t>
      </w:r>
      <w:r w:rsidRPr="008870BD">
        <w:t>healthcare services owing to the COVID-19-related healthcare services;</w:t>
      </w:r>
    </w:p>
    <w:p w14:paraId="14E7251F" w14:textId="02C89125" w:rsidR="000C466A" w:rsidRPr="008870BD" w:rsidRDefault="000C466A" w:rsidP="008870BD">
      <w:pPr>
        <w:pStyle w:val="SingleTxtG"/>
      </w:pPr>
      <w:r w:rsidRPr="008870BD">
        <w:tab/>
        <w:t>(b)</w:t>
      </w:r>
      <w:r w:rsidRPr="008870BD">
        <w:tab/>
        <w:t xml:space="preserve">The absence of specific </w:t>
      </w:r>
      <w:r w:rsidR="00735AEE" w:rsidRPr="008870BD">
        <w:t xml:space="preserve">COVID-19 response </w:t>
      </w:r>
      <w:r w:rsidRPr="008870BD">
        <w:t>measures to protect disadvantaged and marginalized individuals and groups;</w:t>
      </w:r>
    </w:p>
    <w:p w14:paraId="0287C266" w14:textId="043FE7C2" w:rsidR="000C466A" w:rsidRPr="008870BD" w:rsidRDefault="000C466A" w:rsidP="008870BD">
      <w:pPr>
        <w:pStyle w:val="SingleTxtG"/>
      </w:pPr>
      <w:r w:rsidRPr="008870BD">
        <w:tab/>
        <w:t>(c)</w:t>
      </w:r>
      <w:r w:rsidRPr="008870BD">
        <w:tab/>
        <w:t>The failure to reach</w:t>
      </w:r>
      <w:r w:rsidR="00735AEE" w:rsidRPr="008870BD">
        <w:t xml:space="preserve"> out</w:t>
      </w:r>
      <w:r w:rsidR="008B2D68" w:rsidRPr="008870BD">
        <w:t xml:space="preserve"> to the most disadvantaged and marginalized individuals and groups</w:t>
      </w:r>
      <w:r w:rsidRPr="008870BD">
        <w:t xml:space="preserve"> </w:t>
      </w:r>
      <w:r w:rsidR="008B2D68" w:rsidRPr="008870BD">
        <w:t xml:space="preserve">and business entities in the informal economy sector </w:t>
      </w:r>
      <w:r w:rsidRPr="008870BD">
        <w:t xml:space="preserve">through </w:t>
      </w:r>
      <w:r w:rsidR="00735AEE" w:rsidRPr="008870BD">
        <w:t>the</w:t>
      </w:r>
      <w:r w:rsidRPr="008870BD">
        <w:t xml:space="preserve"> measures taken under the Decree on fiscal benefits and direct benefits to economic entities in the private sector and financial assistance to citizens</w:t>
      </w:r>
      <w:r w:rsidR="008B2D68" w:rsidRPr="008870BD">
        <w:t>.</w:t>
      </w:r>
      <w:r w:rsidRPr="008870BD">
        <w:t xml:space="preserve"> (arts. 9, 11 and 12). </w:t>
      </w:r>
    </w:p>
    <w:p w14:paraId="2D397602" w14:textId="18ED6DAF" w:rsidR="000C466A" w:rsidRPr="000C466A" w:rsidRDefault="000C466A" w:rsidP="00442AD1">
      <w:pPr>
        <w:pStyle w:val="SingleTxtG"/>
        <w:numPr>
          <w:ilvl w:val="0"/>
          <w:numId w:val="32"/>
        </w:numPr>
        <w:tabs>
          <w:tab w:val="clear" w:pos="1701"/>
          <w:tab w:val="clear" w:pos="2268"/>
          <w:tab w:val="clear" w:pos="2835"/>
        </w:tabs>
        <w:ind w:left="1134" w:firstLine="0"/>
        <w:rPr>
          <w:b/>
          <w:bCs/>
        </w:rPr>
      </w:pPr>
      <w:r w:rsidRPr="000C466A">
        <w:rPr>
          <w:b/>
          <w:bCs/>
        </w:rPr>
        <w:t xml:space="preserve">The Committee recommends that the State party: </w:t>
      </w:r>
    </w:p>
    <w:p w14:paraId="1070F1FD" w14:textId="77777777" w:rsidR="000C466A" w:rsidRDefault="000C466A" w:rsidP="000C466A">
      <w:pPr>
        <w:pStyle w:val="SingleTxtG"/>
        <w:rPr>
          <w:b/>
          <w:bCs/>
          <w:color w:val="0070C0"/>
        </w:rPr>
      </w:pPr>
      <w:r w:rsidRPr="000C466A">
        <w:rPr>
          <w:b/>
          <w:bCs/>
        </w:rPr>
        <w:tab/>
        <w:t>(a)</w:t>
      </w:r>
      <w:r w:rsidRPr="000C466A">
        <w:rPr>
          <w:b/>
          <w:bCs/>
        </w:rPr>
        <w:tab/>
        <w:t>Facilitate universal</w:t>
      </w:r>
      <w:r w:rsidRPr="00495F3F">
        <w:rPr>
          <w:b/>
        </w:rPr>
        <w:t xml:space="preserve"> and equitable access to COVID-19 testing, treatment and vaccination</w:t>
      </w:r>
      <w:r>
        <w:rPr>
          <w:b/>
        </w:rPr>
        <w:t xml:space="preserve">; and ensure that the provision of healthcare services are not disturbed due to the COVID-19-related healthcare services;  </w:t>
      </w:r>
    </w:p>
    <w:p w14:paraId="5800376C" w14:textId="496E2F2B" w:rsidR="000C466A" w:rsidRPr="000C466A" w:rsidRDefault="000C466A" w:rsidP="000C466A">
      <w:pPr>
        <w:pStyle w:val="SingleTxtG"/>
        <w:rPr>
          <w:b/>
        </w:rPr>
      </w:pPr>
      <w:r>
        <w:rPr>
          <w:b/>
          <w:bCs/>
          <w:color w:val="0070C0"/>
        </w:rPr>
        <w:tab/>
      </w:r>
      <w:r w:rsidRPr="000C466A">
        <w:rPr>
          <w:b/>
        </w:rPr>
        <w:t>(b)</w:t>
      </w:r>
      <w:r w:rsidRPr="000C466A">
        <w:rPr>
          <w:b/>
        </w:rPr>
        <w:tab/>
      </w:r>
      <w:r w:rsidR="00735AEE">
        <w:rPr>
          <w:b/>
        </w:rPr>
        <w:t>I</w:t>
      </w:r>
      <w:r w:rsidRPr="000C466A">
        <w:rPr>
          <w:b/>
        </w:rPr>
        <w:t>mmediate</w:t>
      </w:r>
      <w:r w:rsidR="00735AEE">
        <w:rPr>
          <w:b/>
        </w:rPr>
        <w:t>ly</w:t>
      </w:r>
      <w:r w:rsidRPr="000C466A">
        <w:rPr>
          <w:b/>
        </w:rPr>
        <w:t xml:space="preserve"> </w:t>
      </w:r>
      <w:r w:rsidR="006574AF">
        <w:rPr>
          <w:b/>
        </w:rPr>
        <w:t>rectify</w:t>
      </w:r>
      <w:r w:rsidRPr="000C466A">
        <w:rPr>
          <w:b/>
        </w:rPr>
        <w:t xml:space="preserve"> the situation </w:t>
      </w:r>
      <w:r w:rsidR="00735AEE">
        <w:rPr>
          <w:b/>
        </w:rPr>
        <w:t>by</w:t>
      </w:r>
      <w:r w:rsidRPr="000C466A">
        <w:rPr>
          <w:b/>
        </w:rPr>
        <w:t xml:space="preserve"> providing the </w:t>
      </w:r>
      <w:r w:rsidR="00B34BC7">
        <w:rPr>
          <w:b/>
        </w:rPr>
        <w:t xml:space="preserve">COVID-19 related </w:t>
      </w:r>
      <w:r w:rsidRPr="000C466A">
        <w:rPr>
          <w:b/>
        </w:rPr>
        <w:t>cash benefits to those who were excluded</w:t>
      </w:r>
      <w:r w:rsidR="008B2D68">
        <w:rPr>
          <w:b/>
        </w:rPr>
        <w:t>, including</w:t>
      </w:r>
      <w:r w:rsidRPr="000C466A">
        <w:rPr>
          <w:b/>
        </w:rPr>
        <w:t xml:space="preserve"> due to the lack of </w:t>
      </w:r>
      <w:r w:rsidR="008B2D68">
        <w:rPr>
          <w:b/>
        </w:rPr>
        <w:t xml:space="preserve">permanent residence and identity </w:t>
      </w:r>
      <w:r w:rsidRPr="000C466A">
        <w:rPr>
          <w:b/>
        </w:rPr>
        <w:t xml:space="preserve">documents; </w:t>
      </w:r>
    </w:p>
    <w:p w14:paraId="1B5B1323" w14:textId="77777777" w:rsidR="000C466A" w:rsidRPr="000C466A" w:rsidRDefault="000C466A" w:rsidP="000C466A">
      <w:pPr>
        <w:pStyle w:val="SingleTxtG"/>
        <w:rPr>
          <w:b/>
        </w:rPr>
      </w:pPr>
      <w:r w:rsidRPr="000C466A">
        <w:rPr>
          <w:b/>
        </w:rPr>
        <w:tab/>
      </w:r>
      <w:r w:rsidRPr="00B968B7">
        <w:rPr>
          <w:b/>
        </w:rPr>
        <w:t>(c)</w:t>
      </w:r>
      <w:r w:rsidRPr="000C466A">
        <w:rPr>
          <w:b/>
        </w:rPr>
        <w:tab/>
        <w:t>Adopt targeted measures to protect disadvantaged and marginalized individuals and groups, including the workers and business entities in the informal economy and the workers in non-traditional forms of employment, in the context of COVID-19 recovery.</w:t>
      </w:r>
    </w:p>
    <w:p w14:paraId="0DE0D45B" w14:textId="5BFB9BD5" w:rsidR="00CF5B03" w:rsidRDefault="00CF5B03" w:rsidP="00CF5B03">
      <w:pPr>
        <w:pStyle w:val="H23G"/>
      </w:pPr>
      <w:r>
        <w:lastRenderedPageBreak/>
        <w:tab/>
      </w:r>
      <w:r>
        <w:tab/>
      </w:r>
      <w:r w:rsidR="00765891">
        <w:t>Austerity measures</w:t>
      </w:r>
    </w:p>
    <w:p w14:paraId="053F6E05" w14:textId="27DDBEED" w:rsidR="00CF5B03" w:rsidRDefault="004E6307" w:rsidP="00442AD1">
      <w:pPr>
        <w:pStyle w:val="SingleTxtG"/>
        <w:numPr>
          <w:ilvl w:val="0"/>
          <w:numId w:val="32"/>
        </w:numPr>
        <w:tabs>
          <w:tab w:val="clear" w:pos="1701"/>
          <w:tab w:val="clear" w:pos="2268"/>
          <w:tab w:val="clear" w:pos="2835"/>
        </w:tabs>
        <w:ind w:left="1134" w:firstLine="0"/>
        <w:rPr>
          <w:bCs/>
        </w:rPr>
      </w:pPr>
      <w:r w:rsidRPr="001E09B0">
        <w:rPr>
          <w:bCs/>
        </w:rPr>
        <w:t xml:space="preserve">The Committee </w:t>
      </w:r>
      <w:r>
        <w:rPr>
          <w:bCs/>
        </w:rPr>
        <w:t>notes the measures taken by the State party to respond to the financial crisis</w:t>
      </w:r>
      <w:r w:rsidR="00B34BC7">
        <w:rPr>
          <w:bCs/>
        </w:rPr>
        <w:t xml:space="preserve"> after 2014</w:t>
      </w:r>
      <w:r>
        <w:rPr>
          <w:bCs/>
        </w:rPr>
        <w:t xml:space="preserve">, including the introduction of </w:t>
      </w:r>
      <w:r w:rsidR="008058C9">
        <w:rPr>
          <w:bCs/>
        </w:rPr>
        <w:t xml:space="preserve">a property </w:t>
      </w:r>
      <w:r>
        <w:rPr>
          <w:bCs/>
        </w:rPr>
        <w:t>tax on social housing, the increase</w:t>
      </w:r>
      <w:r w:rsidR="001048C8">
        <w:rPr>
          <w:bCs/>
        </w:rPr>
        <w:t>d</w:t>
      </w:r>
      <w:r>
        <w:rPr>
          <w:bCs/>
        </w:rPr>
        <w:t xml:space="preserve"> value added tax</w:t>
      </w:r>
      <w:r w:rsidR="001048C8">
        <w:rPr>
          <w:bCs/>
        </w:rPr>
        <w:t xml:space="preserve"> rates</w:t>
      </w:r>
      <w:r>
        <w:rPr>
          <w:bCs/>
        </w:rPr>
        <w:t xml:space="preserve">, the pension </w:t>
      </w:r>
      <w:r w:rsidR="001048C8">
        <w:rPr>
          <w:bCs/>
        </w:rPr>
        <w:t>cut</w:t>
      </w:r>
      <w:r>
        <w:rPr>
          <w:bCs/>
        </w:rPr>
        <w:t xml:space="preserve"> and the</w:t>
      </w:r>
      <w:r w:rsidR="00834245">
        <w:rPr>
          <w:bCs/>
        </w:rPr>
        <w:t xml:space="preserve"> reduction in public sector employees</w:t>
      </w:r>
      <w:r>
        <w:rPr>
          <w:bCs/>
        </w:rPr>
        <w:t xml:space="preserve">. </w:t>
      </w:r>
      <w:r w:rsidR="00FD0650">
        <w:rPr>
          <w:bCs/>
        </w:rPr>
        <w:t>The Committee is concerned that t</w:t>
      </w:r>
      <w:r w:rsidR="001048C8">
        <w:rPr>
          <w:bCs/>
        </w:rPr>
        <w:t>hose</w:t>
      </w:r>
      <w:r>
        <w:rPr>
          <w:bCs/>
        </w:rPr>
        <w:t xml:space="preserve"> measures were </w:t>
      </w:r>
      <w:r w:rsidR="001048C8">
        <w:rPr>
          <w:bCs/>
        </w:rPr>
        <w:t>adopted</w:t>
      </w:r>
      <w:r>
        <w:rPr>
          <w:bCs/>
        </w:rPr>
        <w:t xml:space="preserve"> without </w:t>
      </w:r>
      <w:r w:rsidR="00FD0650">
        <w:rPr>
          <w:bCs/>
        </w:rPr>
        <w:t xml:space="preserve">adequate </w:t>
      </w:r>
      <w:r>
        <w:rPr>
          <w:bCs/>
        </w:rPr>
        <w:t xml:space="preserve">public consultation, human rights impact assessment </w:t>
      </w:r>
      <w:r w:rsidR="00112904">
        <w:rPr>
          <w:bCs/>
        </w:rPr>
        <w:t>or concrete</w:t>
      </w:r>
      <w:r>
        <w:rPr>
          <w:bCs/>
        </w:rPr>
        <w:t xml:space="preserve"> timeline</w:t>
      </w:r>
      <w:r w:rsidR="001048C8">
        <w:rPr>
          <w:bCs/>
        </w:rPr>
        <w:t>s</w:t>
      </w:r>
      <w:r>
        <w:rPr>
          <w:bCs/>
        </w:rPr>
        <w:t xml:space="preserve"> to phase out. It is also concerned about the</w:t>
      </w:r>
      <w:r w:rsidR="001048C8">
        <w:rPr>
          <w:bCs/>
        </w:rPr>
        <w:t xml:space="preserve"> </w:t>
      </w:r>
      <w:r>
        <w:rPr>
          <w:bCs/>
        </w:rPr>
        <w:t xml:space="preserve">significant adverse impact </w:t>
      </w:r>
      <w:r w:rsidR="00FD0650">
        <w:rPr>
          <w:bCs/>
        </w:rPr>
        <w:t xml:space="preserve">of these measures </w:t>
      </w:r>
      <w:r>
        <w:rPr>
          <w:bCs/>
        </w:rPr>
        <w:t>on the enjoyment of economic, social and cultural rights by disadvantaged and marginalized individuals and groups</w:t>
      </w:r>
      <w:r w:rsidR="00A70C45">
        <w:rPr>
          <w:bCs/>
        </w:rPr>
        <w:t xml:space="preserve"> (Arts. </w:t>
      </w:r>
      <w:r w:rsidR="00FA133E">
        <w:rPr>
          <w:bCs/>
        </w:rPr>
        <w:t>2</w:t>
      </w:r>
      <w:r w:rsidR="00A70C45">
        <w:rPr>
          <w:bCs/>
        </w:rPr>
        <w:t>(</w:t>
      </w:r>
      <w:r w:rsidR="00FA133E">
        <w:rPr>
          <w:bCs/>
        </w:rPr>
        <w:t>1</w:t>
      </w:r>
      <w:r w:rsidR="00A70C45">
        <w:rPr>
          <w:bCs/>
        </w:rPr>
        <w:t>), 6, 9</w:t>
      </w:r>
      <w:r w:rsidR="00112904">
        <w:rPr>
          <w:bCs/>
        </w:rPr>
        <w:t xml:space="preserve"> and</w:t>
      </w:r>
      <w:r w:rsidR="00A70C45">
        <w:rPr>
          <w:bCs/>
        </w:rPr>
        <w:t xml:space="preserve"> 11)</w:t>
      </w:r>
      <w:r>
        <w:rPr>
          <w:bCs/>
        </w:rPr>
        <w:t>.</w:t>
      </w:r>
    </w:p>
    <w:p w14:paraId="7D7EFBAA" w14:textId="1BC2B09B" w:rsidR="00311D21" w:rsidRPr="00A70C45" w:rsidRDefault="00311D21" w:rsidP="00442AD1">
      <w:pPr>
        <w:pStyle w:val="SingleTxtG"/>
        <w:numPr>
          <w:ilvl w:val="0"/>
          <w:numId w:val="32"/>
        </w:numPr>
        <w:tabs>
          <w:tab w:val="clear" w:pos="1701"/>
          <w:tab w:val="clear" w:pos="2268"/>
          <w:tab w:val="clear" w:pos="2835"/>
        </w:tabs>
        <w:ind w:left="1134" w:firstLine="0"/>
        <w:rPr>
          <w:b/>
        </w:rPr>
      </w:pPr>
      <w:r w:rsidRPr="00A70C45">
        <w:rPr>
          <w:b/>
        </w:rPr>
        <w:t>The Committee recommends that the State party:</w:t>
      </w:r>
    </w:p>
    <w:p w14:paraId="55B477D5" w14:textId="4D4F73F7" w:rsidR="00311D21" w:rsidRPr="00A70C45" w:rsidRDefault="00A70C45" w:rsidP="00311D21">
      <w:pPr>
        <w:pStyle w:val="SingleTxtG"/>
        <w:rPr>
          <w:b/>
        </w:rPr>
      </w:pPr>
      <w:r w:rsidRPr="00A70C45">
        <w:rPr>
          <w:b/>
        </w:rPr>
        <w:tab/>
      </w:r>
      <w:r w:rsidR="00311D21" w:rsidRPr="00A70C45">
        <w:rPr>
          <w:b/>
        </w:rPr>
        <w:t>(a)</w:t>
      </w:r>
      <w:r w:rsidRPr="00A70C45">
        <w:rPr>
          <w:b/>
        </w:rPr>
        <w:tab/>
      </w:r>
      <w:r w:rsidR="00311D21" w:rsidRPr="00A70C45">
        <w:rPr>
          <w:b/>
        </w:rPr>
        <w:t xml:space="preserve">Review, while applying human rights standards, measures that have been taken in response to the </w:t>
      </w:r>
      <w:r w:rsidRPr="00A70C45">
        <w:rPr>
          <w:b/>
        </w:rPr>
        <w:t>financial</w:t>
      </w:r>
      <w:r w:rsidR="00311D21" w:rsidRPr="00A70C45">
        <w:rPr>
          <w:b/>
        </w:rPr>
        <w:t xml:space="preserve"> crisis with a view to ensuring  enjoyment of economic, social and cultural rights</w:t>
      </w:r>
      <w:r w:rsidR="00FD0650">
        <w:rPr>
          <w:b/>
        </w:rPr>
        <w:t xml:space="preserve"> by all</w:t>
      </w:r>
      <w:r w:rsidR="00BE0134">
        <w:rPr>
          <w:b/>
        </w:rPr>
        <w:t>;</w:t>
      </w:r>
    </w:p>
    <w:p w14:paraId="7347E64B" w14:textId="14817E4A" w:rsidR="00311D21" w:rsidRPr="00A70C45" w:rsidRDefault="00A70C45" w:rsidP="00311D21">
      <w:pPr>
        <w:pStyle w:val="SingleTxtG"/>
        <w:rPr>
          <w:b/>
        </w:rPr>
      </w:pPr>
      <w:r w:rsidRPr="00A70C45">
        <w:rPr>
          <w:b/>
        </w:rPr>
        <w:tab/>
      </w:r>
      <w:r w:rsidR="00311D21" w:rsidRPr="00A70C45">
        <w:rPr>
          <w:b/>
        </w:rPr>
        <w:t>(b)</w:t>
      </w:r>
      <w:r w:rsidRPr="00A70C45">
        <w:rPr>
          <w:b/>
        </w:rPr>
        <w:tab/>
      </w:r>
      <w:r w:rsidR="00311D21" w:rsidRPr="00A70C45">
        <w:rPr>
          <w:b/>
        </w:rPr>
        <w:t xml:space="preserve">Ensure that </w:t>
      </w:r>
      <w:r w:rsidR="00F16A46">
        <w:rPr>
          <w:b/>
        </w:rPr>
        <w:t xml:space="preserve">such </w:t>
      </w:r>
      <w:r w:rsidR="00311D21" w:rsidRPr="00A70C45">
        <w:rPr>
          <w:b/>
        </w:rPr>
        <w:t>austerity measures are gradually phased out and that the effective protection of the rights under the Covenant is enhanced in line with the progress achieved in the post-crisis economic recovery;</w:t>
      </w:r>
    </w:p>
    <w:p w14:paraId="1F732D03" w14:textId="5038A256" w:rsidR="00311D21" w:rsidRPr="00A70C45" w:rsidRDefault="00A70C45" w:rsidP="00311D21">
      <w:pPr>
        <w:pStyle w:val="SingleTxtG"/>
        <w:rPr>
          <w:b/>
        </w:rPr>
      </w:pPr>
      <w:r w:rsidRPr="00A70C45">
        <w:rPr>
          <w:b/>
        </w:rPr>
        <w:tab/>
      </w:r>
      <w:r w:rsidR="00311D21" w:rsidRPr="00A70C45">
        <w:rPr>
          <w:b/>
        </w:rPr>
        <w:t>(c)</w:t>
      </w:r>
      <w:r w:rsidRPr="00A70C45">
        <w:rPr>
          <w:b/>
        </w:rPr>
        <w:tab/>
      </w:r>
      <w:r w:rsidR="00311D21" w:rsidRPr="00A70C45">
        <w:rPr>
          <w:b/>
        </w:rPr>
        <w:t>Restore the pre-crisis levels of public services and social benefits</w:t>
      </w:r>
      <w:r w:rsidR="00F16A46">
        <w:rPr>
          <w:b/>
        </w:rPr>
        <w:t xml:space="preserve"> and</w:t>
      </w:r>
      <w:r w:rsidR="00F021DA">
        <w:rPr>
          <w:b/>
        </w:rPr>
        <w:t xml:space="preserve"> ensure </w:t>
      </w:r>
      <w:r w:rsidR="009469C2">
        <w:rPr>
          <w:b/>
        </w:rPr>
        <w:t xml:space="preserve">the effective </w:t>
      </w:r>
      <w:r w:rsidR="00F16A46">
        <w:rPr>
          <w:b/>
        </w:rPr>
        <w:t>functioning of state institutions</w:t>
      </w:r>
      <w:r w:rsidR="00311D21" w:rsidRPr="00A70C45">
        <w:rPr>
          <w:b/>
        </w:rPr>
        <w:t>;</w:t>
      </w:r>
    </w:p>
    <w:p w14:paraId="2C080F4B" w14:textId="097BD8EA" w:rsidR="00A70C45" w:rsidRPr="00A70C45" w:rsidRDefault="00A70C45" w:rsidP="00A70C45">
      <w:pPr>
        <w:pStyle w:val="SingleTxtG"/>
        <w:rPr>
          <w:b/>
        </w:rPr>
      </w:pPr>
      <w:r w:rsidRPr="00A70C45">
        <w:rPr>
          <w:b/>
        </w:rPr>
        <w:tab/>
        <w:t>(d)</w:t>
      </w:r>
      <w:r w:rsidRPr="00A70C45">
        <w:rPr>
          <w:b/>
        </w:rPr>
        <w:tab/>
        <w:t xml:space="preserve">Take into consideration of the Committee’s open letter dated 16 May 2012 to States parties on economic, social and cultural rights in the context of the economic and financial crisis and statement on public debt, austerity measures and the Covenant issued in 2016. </w:t>
      </w:r>
    </w:p>
    <w:p w14:paraId="0F77F36F" w14:textId="77777777" w:rsidR="004D0556" w:rsidRDefault="004D0556" w:rsidP="004D0556">
      <w:pPr>
        <w:pStyle w:val="H23G"/>
      </w:pPr>
      <w:r>
        <w:tab/>
      </w:r>
      <w:r>
        <w:tab/>
      </w:r>
      <w:r w:rsidRPr="009C5C5E">
        <w:t>Maximum available resources</w:t>
      </w:r>
    </w:p>
    <w:p w14:paraId="38F9B990" w14:textId="644FA8D4" w:rsidR="00A74526" w:rsidRDefault="00CB42A5" w:rsidP="00442AD1">
      <w:pPr>
        <w:pStyle w:val="SingleTxtG"/>
        <w:numPr>
          <w:ilvl w:val="0"/>
          <w:numId w:val="32"/>
        </w:numPr>
        <w:tabs>
          <w:tab w:val="clear" w:pos="1701"/>
          <w:tab w:val="clear" w:pos="2268"/>
          <w:tab w:val="clear" w:pos="2835"/>
        </w:tabs>
        <w:ind w:left="1134" w:firstLine="0"/>
      </w:pPr>
      <w:r>
        <w:t>The Committee is concerned about</w:t>
      </w:r>
      <w:r w:rsidR="00A74526">
        <w:t>:</w:t>
      </w:r>
    </w:p>
    <w:p w14:paraId="56696B30" w14:textId="1676E04E" w:rsidR="00A74526" w:rsidRDefault="00A74526" w:rsidP="004D0556">
      <w:pPr>
        <w:pStyle w:val="SingleTxtG"/>
      </w:pPr>
      <w:r>
        <w:tab/>
        <w:t>(a)</w:t>
      </w:r>
      <w:r>
        <w:tab/>
        <w:t>T</w:t>
      </w:r>
      <w:r w:rsidR="00CB42A5">
        <w:t xml:space="preserve">he </w:t>
      </w:r>
      <w:r w:rsidR="00765891">
        <w:t xml:space="preserve">lack of progressivity of </w:t>
      </w:r>
      <w:r w:rsidR="00B36B03">
        <w:t>the State party’s</w:t>
      </w:r>
      <w:r w:rsidR="00765891">
        <w:t xml:space="preserve"> tax system, as illustrated by</w:t>
      </w:r>
      <w:r w:rsidR="00CB42A5">
        <w:t xml:space="preserve"> the heavy reliance on consumption taxes</w:t>
      </w:r>
      <w:r w:rsidR="00925F4F">
        <w:t>,</w:t>
      </w:r>
      <w:r w:rsidR="00CB42A5">
        <w:t xml:space="preserve"> the non-progressive</w:t>
      </w:r>
      <w:r w:rsidR="00925F4F">
        <w:t xml:space="preserve"> and</w:t>
      </w:r>
      <w:r w:rsidR="00CB42A5">
        <w:t xml:space="preserve"> low</w:t>
      </w:r>
      <w:r w:rsidR="00925F4F">
        <w:t xml:space="preserve"> level of </w:t>
      </w:r>
      <w:r w:rsidR="00CB42A5">
        <w:t>personal and corporate income tax</w:t>
      </w:r>
      <w:r w:rsidR="00925F4F">
        <w:t>es</w:t>
      </w:r>
      <w:r w:rsidR="00CB42A5">
        <w:t xml:space="preserve"> and the very low inheritance tax rate</w:t>
      </w:r>
      <w:r>
        <w:t>;</w:t>
      </w:r>
    </w:p>
    <w:p w14:paraId="05C9DA2D" w14:textId="77777777" w:rsidR="00A74526" w:rsidRDefault="00A74526" w:rsidP="004D0556">
      <w:pPr>
        <w:pStyle w:val="SingleTxtG"/>
      </w:pPr>
      <w:r>
        <w:tab/>
        <w:t>(b)</w:t>
      </w:r>
      <w:r>
        <w:tab/>
        <w:t>T</w:t>
      </w:r>
      <w:r w:rsidR="00CB42A5">
        <w:t xml:space="preserve">he high level of </w:t>
      </w:r>
      <w:r w:rsidR="00925F4F">
        <w:t>income</w:t>
      </w:r>
      <w:r w:rsidR="00CB42A5">
        <w:t xml:space="preserve"> inequalit</w:t>
      </w:r>
      <w:r w:rsidR="00925F4F">
        <w:t>y</w:t>
      </w:r>
      <w:r w:rsidR="00CB42A5">
        <w:t xml:space="preserve"> in the State party and the</w:t>
      </w:r>
      <w:r w:rsidR="00C06585">
        <w:t xml:space="preserve"> minimal redistributive effect of taxes and transfers to </w:t>
      </w:r>
      <w:r w:rsidR="00925F4F">
        <w:t>narrow the inequality</w:t>
      </w:r>
      <w:r>
        <w:t>;</w:t>
      </w:r>
    </w:p>
    <w:p w14:paraId="07C29F47" w14:textId="0876C6BA" w:rsidR="00292E2B" w:rsidRDefault="00A74526" w:rsidP="004D0556">
      <w:pPr>
        <w:pStyle w:val="SingleTxtG"/>
        <w:rPr>
          <w:bCs/>
        </w:rPr>
      </w:pPr>
      <w:r>
        <w:tab/>
        <w:t>(c)</w:t>
      </w:r>
      <w:r>
        <w:tab/>
      </w:r>
      <w:r w:rsidR="00925F4F">
        <w:t xml:space="preserve">The persistently low level of </w:t>
      </w:r>
      <w:r>
        <w:t>funding</w:t>
      </w:r>
      <w:r w:rsidR="00925F4F">
        <w:t xml:space="preserve"> allocat</w:t>
      </w:r>
      <w:r>
        <w:t xml:space="preserve">ion </w:t>
      </w:r>
      <w:r w:rsidR="00F16A46">
        <w:t>as well as</w:t>
      </w:r>
      <w:r>
        <w:t xml:space="preserve"> </w:t>
      </w:r>
      <w:r w:rsidR="00925F4F">
        <w:t>the</w:t>
      </w:r>
      <w:r w:rsidR="006F715C">
        <w:t xml:space="preserve"> frequent incidence of </w:t>
      </w:r>
      <w:r w:rsidR="00925F4F">
        <w:t xml:space="preserve">diversion of </w:t>
      </w:r>
      <w:r w:rsidR="006F715C">
        <w:t>funding</w:t>
      </w:r>
      <w:r w:rsidR="00925F4F">
        <w:t xml:space="preserve"> </w:t>
      </w:r>
      <w:r>
        <w:t>allocated</w:t>
      </w:r>
      <w:r w:rsidR="00925F4F">
        <w:t xml:space="preserve"> for </w:t>
      </w:r>
      <w:r w:rsidR="00E14A5E">
        <w:t>the realization of economic, social and cultural</w:t>
      </w:r>
      <w:r w:rsidR="006F715C">
        <w:t xml:space="preserve"> rights for other purposes, including military expenditure</w:t>
      </w:r>
      <w:r w:rsidR="00FA133E">
        <w:t xml:space="preserve"> </w:t>
      </w:r>
      <w:r w:rsidR="00FA133E">
        <w:rPr>
          <w:bCs/>
        </w:rPr>
        <w:t>(Art. 2(1))</w:t>
      </w:r>
      <w:r w:rsidR="006F715C">
        <w:t xml:space="preserve">. </w:t>
      </w:r>
    </w:p>
    <w:p w14:paraId="506511E0" w14:textId="59EA23F7" w:rsidR="004D0556" w:rsidRPr="00E14A5E" w:rsidRDefault="004D0556" w:rsidP="00442AD1">
      <w:pPr>
        <w:pStyle w:val="SingleTxtG"/>
        <w:numPr>
          <w:ilvl w:val="0"/>
          <w:numId w:val="32"/>
        </w:numPr>
        <w:tabs>
          <w:tab w:val="clear" w:pos="1701"/>
          <w:tab w:val="clear" w:pos="2268"/>
          <w:tab w:val="clear" w:pos="2835"/>
        </w:tabs>
        <w:ind w:left="1134" w:firstLine="0"/>
        <w:rPr>
          <w:b/>
        </w:rPr>
      </w:pPr>
      <w:r w:rsidRPr="00E14A5E">
        <w:rPr>
          <w:b/>
        </w:rPr>
        <w:t>The Committee recommends</w:t>
      </w:r>
      <w:r w:rsidR="007E4507" w:rsidRPr="00E14A5E">
        <w:rPr>
          <w:b/>
        </w:rPr>
        <w:t xml:space="preserve"> that the State party</w:t>
      </w:r>
    </w:p>
    <w:p w14:paraId="1527843F" w14:textId="1202C712" w:rsidR="007E4507" w:rsidRPr="00E14A5E" w:rsidRDefault="007E4507" w:rsidP="007E4507">
      <w:pPr>
        <w:pStyle w:val="SingleTxtG"/>
        <w:rPr>
          <w:b/>
        </w:rPr>
      </w:pPr>
      <w:r w:rsidRPr="00E14A5E">
        <w:rPr>
          <w:b/>
        </w:rPr>
        <w:tab/>
        <w:t>(a)</w:t>
      </w:r>
      <w:r w:rsidRPr="00E14A5E">
        <w:rPr>
          <w:b/>
        </w:rPr>
        <w:tab/>
        <w:t>Adopt a more efficient, progressive and socially just fiscal policy with a view to expanding tax base and fiscal space for the progressive realization of economic, social and cultural rights and increasing its redistributive effect;</w:t>
      </w:r>
    </w:p>
    <w:p w14:paraId="02F7F6EE" w14:textId="0571D82B" w:rsidR="007E4507" w:rsidRPr="00E14A5E" w:rsidRDefault="007E4507" w:rsidP="00E14A5E">
      <w:pPr>
        <w:pStyle w:val="SingleTxtG"/>
        <w:rPr>
          <w:b/>
        </w:rPr>
      </w:pPr>
      <w:r w:rsidRPr="00E14A5E">
        <w:rPr>
          <w:b/>
        </w:rPr>
        <w:tab/>
        <w:t>(b)</w:t>
      </w:r>
      <w:r w:rsidRPr="00E14A5E">
        <w:rPr>
          <w:b/>
        </w:rPr>
        <w:tab/>
        <w:t xml:space="preserve">Increase </w:t>
      </w:r>
      <w:r w:rsidR="00E14A5E" w:rsidRPr="00E14A5E">
        <w:rPr>
          <w:b/>
        </w:rPr>
        <w:t>the level of budget allocation to employment services, social protection, social housing, healthcare, education and other areas relating to the Covenant rights</w:t>
      </w:r>
      <w:r w:rsidRPr="00E14A5E">
        <w:rPr>
          <w:b/>
        </w:rPr>
        <w:t>;</w:t>
      </w:r>
    </w:p>
    <w:p w14:paraId="3CF9DB1F" w14:textId="296814B3" w:rsidR="00E14A5E" w:rsidRPr="00E14A5E" w:rsidRDefault="00E14A5E" w:rsidP="007E4507">
      <w:pPr>
        <w:pStyle w:val="SingleTxtG"/>
        <w:rPr>
          <w:b/>
        </w:rPr>
      </w:pPr>
      <w:r w:rsidRPr="00E14A5E">
        <w:rPr>
          <w:b/>
        </w:rPr>
        <w:tab/>
      </w:r>
      <w:r w:rsidR="007E4507" w:rsidRPr="00E14A5E">
        <w:rPr>
          <w:b/>
        </w:rPr>
        <w:t>(</w:t>
      </w:r>
      <w:r w:rsidRPr="00E14A5E">
        <w:rPr>
          <w:b/>
        </w:rPr>
        <w:t>c</w:t>
      </w:r>
      <w:r w:rsidR="007E4507" w:rsidRPr="00E14A5E">
        <w:rPr>
          <w:b/>
        </w:rPr>
        <w:t>)</w:t>
      </w:r>
      <w:r w:rsidRPr="00E14A5E">
        <w:rPr>
          <w:b/>
        </w:rPr>
        <w:tab/>
        <w:t>Refrain from diverting funding earmarked for the realization of economic, social and cultural rights, and, if strictly necessary, ensure that the decision is made in a transparent manner with appropriate</w:t>
      </w:r>
      <w:r w:rsidR="00CF776B">
        <w:rPr>
          <w:b/>
        </w:rPr>
        <w:t xml:space="preserve"> consultation.</w:t>
      </w:r>
    </w:p>
    <w:p w14:paraId="5628903D" w14:textId="77777777" w:rsidR="004D0556" w:rsidRDefault="004D0556" w:rsidP="004D0556">
      <w:pPr>
        <w:pStyle w:val="H23G"/>
      </w:pPr>
      <w:r>
        <w:tab/>
      </w:r>
      <w:r>
        <w:tab/>
        <w:t>Corruption</w:t>
      </w:r>
    </w:p>
    <w:p w14:paraId="2465AF3E" w14:textId="2AC4DC4E" w:rsidR="0034264A" w:rsidRPr="0034264A" w:rsidRDefault="004D0556" w:rsidP="00442AD1">
      <w:pPr>
        <w:pStyle w:val="SingleTxtG"/>
        <w:numPr>
          <w:ilvl w:val="0"/>
          <w:numId w:val="32"/>
        </w:numPr>
        <w:tabs>
          <w:tab w:val="clear" w:pos="1701"/>
          <w:tab w:val="clear" w:pos="2268"/>
          <w:tab w:val="clear" w:pos="2835"/>
        </w:tabs>
        <w:ind w:left="1134" w:firstLine="0"/>
        <w:rPr>
          <w:bCs/>
        </w:rPr>
      </w:pPr>
      <w:r w:rsidRPr="001E09B0">
        <w:rPr>
          <w:bCs/>
        </w:rPr>
        <w:t xml:space="preserve">The Committee </w:t>
      </w:r>
      <w:r w:rsidR="00FB7DA0">
        <w:rPr>
          <w:bCs/>
        </w:rPr>
        <w:t>is concerned about the widespread corruption and the practice of bribery in accessing public services</w:t>
      </w:r>
      <w:r w:rsidR="00217E70">
        <w:rPr>
          <w:bCs/>
        </w:rPr>
        <w:t xml:space="preserve"> and the failure of</w:t>
      </w:r>
      <w:r w:rsidR="001F0CB3">
        <w:rPr>
          <w:bCs/>
        </w:rPr>
        <w:t xml:space="preserve"> </w:t>
      </w:r>
      <w:r w:rsidR="00F904B2">
        <w:rPr>
          <w:bCs/>
        </w:rPr>
        <w:t xml:space="preserve">the Anti-Corruption </w:t>
      </w:r>
      <w:r w:rsidR="004B2DB9">
        <w:rPr>
          <w:bCs/>
        </w:rPr>
        <w:t>Agency</w:t>
      </w:r>
      <w:r w:rsidR="00F904B2">
        <w:rPr>
          <w:bCs/>
        </w:rPr>
        <w:t xml:space="preserve"> to investigate cases of corruption, especially those involving high-level officials</w:t>
      </w:r>
      <w:r w:rsidR="001F0CB3">
        <w:rPr>
          <w:bCs/>
        </w:rPr>
        <w:t xml:space="preserve">. </w:t>
      </w:r>
      <w:r w:rsidR="0034264A" w:rsidRPr="000E2FDD">
        <w:t xml:space="preserve">The Committee </w:t>
      </w:r>
      <w:r w:rsidR="0034264A">
        <w:t xml:space="preserve">also </w:t>
      </w:r>
      <w:r w:rsidR="0034264A" w:rsidRPr="000E2FDD">
        <w:t xml:space="preserve">regrets the lack of information on the steps taken to review the legal provisions that provides for the exemption of selected infrastructure projects of strategic importance from public procurement rules. In light of a number of corruption cases, including those involving high-level officials, in the procurement process, </w:t>
      </w:r>
      <w:r w:rsidR="0034264A">
        <w:t>the Committee</w:t>
      </w:r>
      <w:r w:rsidR="0034264A" w:rsidRPr="000E2FDD">
        <w:t xml:space="preserve"> is concerned </w:t>
      </w:r>
      <w:r w:rsidR="0034264A" w:rsidRPr="000E2FDD">
        <w:lastRenderedPageBreak/>
        <w:t>about potential adverse effect of those provisions on the obligation of the State party to use maximum available resources</w:t>
      </w:r>
      <w:r w:rsidR="00B36B03">
        <w:t xml:space="preserve"> </w:t>
      </w:r>
      <w:r w:rsidR="00B36B03">
        <w:rPr>
          <w:bCs/>
        </w:rPr>
        <w:t>(Art. 2(1))</w:t>
      </w:r>
      <w:r w:rsidR="0034264A" w:rsidRPr="000E2FDD">
        <w:t>.</w:t>
      </w:r>
    </w:p>
    <w:p w14:paraId="3D68AD5D" w14:textId="00D9BC1F" w:rsidR="004D0556" w:rsidRPr="0032603A" w:rsidRDefault="004D0556" w:rsidP="00442AD1">
      <w:pPr>
        <w:pStyle w:val="SingleTxtG"/>
        <w:numPr>
          <w:ilvl w:val="0"/>
          <w:numId w:val="32"/>
        </w:numPr>
        <w:tabs>
          <w:tab w:val="clear" w:pos="1701"/>
          <w:tab w:val="clear" w:pos="2268"/>
          <w:tab w:val="clear" w:pos="2835"/>
        </w:tabs>
        <w:ind w:left="1134" w:firstLine="0"/>
        <w:rPr>
          <w:b/>
        </w:rPr>
      </w:pPr>
      <w:r w:rsidRPr="0032603A">
        <w:rPr>
          <w:b/>
        </w:rPr>
        <w:t>The Committee recommends</w:t>
      </w:r>
      <w:r w:rsidR="00E14A5E" w:rsidRPr="0032603A">
        <w:rPr>
          <w:b/>
        </w:rPr>
        <w:t xml:space="preserve"> that the State party</w:t>
      </w:r>
      <w:r w:rsidR="009C2D2A" w:rsidRPr="0032603A">
        <w:rPr>
          <w:b/>
        </w:rPr>
        <w:t>:</w:t>
      </w:r>
    </w:p>
    <w:p w14:paraId="5DAE5B25" w14:textId="2FCF9E88" w:rsidR="009C2D2A" w:rsidRPr="0032603A" w:rsidRDefault="009C2D2A" w:rsidP="004D0556">
      <w:pPr>
        <w:pStyle w:val="SingleTxtG"/>
        <w:rPr>
          <w:b/>
        </w:rPr>
      </w:pPr>
      <w:r w:rsidRPr="0032603A">
        <w:rPr>
          <w:b/>
        </w:rPr>
        <w:tab/>
        <w:t>(a)</w:t>
      </w:r>
      <w:r w:rsidRPr="0032603A">
        <w:rPr>
          <w:b/>
        </w:rPr>
        <w:tab/>
        <w:t>Ensure that all cases of corruption, particularly those involving high-level officials, are thoroughly and independently investigated and prosecuted without impunity;</w:t>
      </w:r>
      <w:r w:rsidR="00251D0C" w:rsidRPr="0032603A">
        <w:rPr>
          <w:b/>
        </w:rPr>
        <w:t xml:space="preserve"> </w:t>
      </w:r>
    </w:p>
    <w:p w14:paraId="75142F4C" w14:textId="3C35C437" w:rsidR="00251D0C" w:rsidRDefault="009C2D2A" w:rsidP="004D0556">
      <w:pPr>
        <w:pStyle w:val="SingleTxtG"/>
        <w:rPr>
          <w:b/>
        </w:rPr>
      </w:pPr>
      <w:r w:rsidRPr="0032603A">
        <w:rPr>
          <w:b/>
        </w:rPr>
        <w:tab/>
        <w:t>(b)</w:t>
      </w:r>
      <w:r w:rsidR="00251D0C" w:rsidRPr="0032603A">
        <w:rPr>
          <w:b/>
        </w:rPr>
        <w:tab/>
      </w:r>
      <w:r w:rsidR="0057086A" w:rsidRPr="0032603A">
        <w:rPr>
          <w:b/>
        </w:rPr>
        <w:t xml:space="preserve">Strengthen the </w:t>
      </w:r>
      <w:r w:rsidR="00251D0C" w:rsidRPr="0032603A">
        <w:rPr>
          <w:b/>
        </w:rPr>
        <w:t>powers and capacity of anti-corruption bodies, including the Anti-Corruption Agency</w:t>
      </w:r>
      <w:r w:rsidR="00291F37">
        <w:rPr>
          <w:b/>
        </w:rPr>
        <w:t>,</w:t>
      </w:r>
      <w:r w:rsidR="00251D0C" w:rsidRPr="0032603A">
        <w:rPr>
          <w:b/>
        </w:rPr>
        <w:t xml:space="preserve"> </w:t>
      </w:r>
      <w:r w:rsidR="0057086A" w:rsidRPr="0032603A">
        <w:rPr>
          <w:b/>
        </w:rPr>
        <w:t>to</w:t>
      </w:r>
      <w:r w:rsidR="00251D0C" w:rsidRPr="0032603A">
        <w:rPr>
          <w:rFonts w:hint="eastAsia"/>
          <w:b/>
        </w:rPr>
        <w:t xml:space="preserve"> </w:t>
      </w:r>
      <w:r w:rsidR="0057086A" w:rsidRPr="0032603A">
        <w:rPr>
          <w:b/>
        </w:rPr>
        <w:t>independently and effectively</w:t>
      </w:r>
      <w:r w:rsidR="0032603A" w:rsidRPr="0032603A">
        <w:rPr>
          <w:b/>
        </w:rPr>
        <w:t xml:space="preserve"> carry out their mandate</w:t>
      </w:r>
      <w:r w:rsidR="0034264A">
        <w:rPr>
          <w:b/>
        </w:rPr>
        <w:t>;</w:t>
      </w:r>
    </w:p>
    <w:p w14:paraId="75B54C7E" w14:textId="1D3096A3" w:rsidR="0034264A" w:rsidRPr="0032603A" w:rsidRDefault="0034264A" w:rsidP="004D0556">
      <w:pPr>
        <w:pStyle w:val="SingleTxtG"/>
        <w:rPr>
          <w:b/>
        </w:rPr>
      </w:pPr>
      <w:r>
        <w:rPr>
          <w:b/>
          <w:bCs/>
        </w:rPr>
        <w:tab/>
        <w:t>(c)</w:t>
      </w:r>
      <w:r>
        <w:rPr>
          <w:b/>
          <w:bCs/>
        </w:rPr>
        <w:tab/>
      </w:r>
      <w:r w:rsidRPr="000E2FDD">
        <w:rPr>
          <w:b/>
          <w:bCs/>
        </w:rPr>
        <w:t>Review the Law on Special Procedures for the Implementation of the Project of Construction and Reconstruction of Line Infrastructures of Particular Importance to the Republic of Serbia with a view to brining the Law, particularly those provisions on exemption, with relevant international norms and best practice.</w:t>
      </w:r>
    </w:p>
    <w:p w14:paraId="7E00B86B" w14:textId="77777777" w:rsidR="004D0556" w:rsidRDefault="004D0556" w:rsidP="004D0556">
      <w:pPr>
        <w:pStyle w:val="H23G"/>
      </w:pPr>
      <w:r>
        <w:tab/>
      </w:r>
      <w:r>
        <w:tab/>
      </w:r>
      <w:r w:rsidRPr="00EA4128">
        <w:t>Non-discrimination</w:t>
      </w:r>
    </w:p>
    <w:p w14:paraId="7CAFCC64" w14:textId="208C76C2" w:rsidR="004D0556" w:rsidRPr="001E09B0" w:rsidRDefault="004D0556" w:rsidP="00442AD1">
      <w:pPr>
        <w:pStyle w:val="SingleTxtG"/>
        <w:numPr>
          <w:ilvl w:val="0"/>
          <w:numId w:val="32"/>
        </w:numPr>
        <w:tabs>
          <w:tab w:val="clear" w:pos="1701"/>
          <w:tab w:val="clear" w:pos="2268"/>
          <w:tab w:val="clear" w:pos="2835"/>
        </w:tabs>
        <w:ind w:left="1134" w:firstLine="0"/>
        <w:rPr>
          <w:bCs/>
        </w:rPr>
      </w:pPr>
      <w:r w:rsidRPr="001E09B0">
        <w:rPr>
          <w:bCs/>
        </w:rPr>
        <w:t xml:space="preserve">The Committee </w:t>
      </w:r>
      <w:r w:rsidR="00B36B03">
        <w:rPr>
          <w:bCs/>
        </w:rPr>
        <w:t xml:space="preserve">is </w:t>
      </w:r>
      <w:r w:rsidR="004A37A5">
        <w:rPr>
          <w:bCs/>
        </w:rPr>
        <w:t>concerned</w:t>
      </w:r>
      <w:r w:rsidR="00BA7004">
        <w:rPr>
          <w:bCs/>
        </w:rPr>
        <w:t xml:space="preserve"> about</w:t>
      </w:r>
      <w:r w:rsidR="00932900">
        <w:rPr>
          <w:bCs/>
        </w:rPr>
        <w:t xml:space="preserve"> the </w:t>
      </w:r>
      <w:r w:rsidR="00F16A46">
        <w:rPr>
          <w:bCs/>
        </w:rPr>
        <w:t xml:space="preserve">substantive </w:t>
      </w:r>
      <w:r w:rsidR="00932900">
        <w:rPr>
          <w:bCs/>
        </w:rPr>
        <w:t>discrimination faced</w:t>
      </w:r>
      <w:r w:rsidR="007D68E4">
        <w:rPr>
          <w:bCs/>
        </w:rPr>
        <w:t xml:space="preserve"> by disadvantaged and marginalized individuals and groups, in </w:t>
      </w:r>
      <w:r w:rsidR="00932900">
        <w:rPr>
          <w:bCs/>
        </w:rPr>
        <w:t>accessing</w:t>
      </w:r>
      <w:r w:rsidR="00EB7935">
        <w:rPr>
          <w:bCs/>
        </w:rPr>
        <w:t xml:space="preserve"> </w:t>
      </w:r>
      <w:r w:rsidR="0054302E">
        <w:rPr>
          <w:bCs/>
        </w:rPr>
        <w:t>work</w:t>
      </w:r>
      <w:r w:rsidR="00932900">
        <w:rPr>
          <w:bCs/>
        </w:rPr>
        <w:t xml:space="preserve">, </w:t>
      </w:r>
      <w:r w:rsidR="00EA4128">
        <w:rPr>
          <w:bCs/>
        </w:rPr>
        <w:t>social protection, housing, healthcare services and education. The situation has further deteriorated due to growing hate speech, including through social media</w:t>
      </w:r>
      <w:r w:rsidR="00FA133E">
        <w:rPr>
          <w:bCs/>
        </w:rPr>
        <w:t xml:space="preserve"> (Arts. 2(2), 6, 9, 10, 11, 12, 13 and 14)</w:t>
      </w:r>
      <w:r w:rsidR="00EA4128">
        <w:rPr>
          <w:bCs/>
        </w:rPr>
        <w:t>.</w:t>
      </w:r>
    </w:p>
    <w:p w14:paraId="62AF4F12" w14:textId="7B50AFC3" w:rsidR="007D4B67" w:rsidRPr="00641D21" w:rsidRDefault="007D4B67" w:rsidP="00442AD1">
      <w:pPr>
        <w:pStyle w:val="SingleTxtG"/>
        <w:numPr>
          <w:ilvl w:val="0"/>
          <w:numId w:val="32"/>
        </w:numPr>
        <w:tabs>
          <w:tab w:val="clear" w:pos="1701"/>
          <w:tab w:val="clear" w:pos="2268"/>
          <w:tab w:val="clear" w:pos="2835"/>
        </w:tabs>
        <w:ind w:left="1134" w:firstLine="0"/>
        <w:rPr>
          <w:b/>
          <w:bCs/>
        </w:rPr>
      </w:pPr>
      <w:r w:rsidRPr="00641D21">
        <w:rPr>
          <w:b/>
          <w:bCs/>
        </w:rPr>
        <w:t>The Committee urges the State party to intensify its efforts to promote equality and combat discrimination against Roma and persons belonging to national minority groups, persons with disabilities, refugees, asylum seekers, internally displaced persons, and lesbian, gay, bisexual, transgender and intersex persons. In particular, it recommends that the State party:</w:t>
      </w:r>
    </w:p>
    <w:p w14:paraId="6DD4F0B7" w14:textId="723C2A6C" w:rsidR="007D4B67" w:rsidRPr="00641D21" w:rsidRDefault="007D4B67" w:rsidP="004D0556">
      <w:pPr>
        <w:pStyle w:val="SingleTxtG"/>
        <w:rPr>
          <w:b/>
          <w:bCs/>
        </w:rPr>
      </w:pPr>
      <w:r w:rsidRPr="00641D21">
        <w:rPr>
          <w:b/>
          <w:bCs/>
        </w:rPr>
        <w:tab/>
        <w:t>(a)</w:t>
      </w:r>
      <w:r w:rsidRPr="00641D21">
        <w:rPr>
          <w:b/>
          <w:bCs/>
        </w:rPr>
        <w:tab/>
      </w:r>
      <w:r w:rsidR="007D68E4">
        <w:rPr>
          <w:b/>
          <w:bCs/>
        </w:rPr>
        <w:t xml:space="preserve">Take the steps necessary to remove all discriminatory legal </w:t>
      </w:r>
      <w:r w:rsidR="00EB7935">
        <w:rPr>
          <w:b/>
          <w:bCs/>
        </w:rPr>
        <w:t xml:space="preserve">provisions </w:t>
      </w:r>
      <w:r w:rsidR="007D68E4">
        <w:rPr>
          <w:b/>
          <w:bCs/>
        </w:rPr>
        <w:t>and adopt the pending anti-discriminatory legislation without delay and strengthen the enforcement of anti-discrimination legislation with a view to ensuring the equal enjoyment of economic, social and cultural rights in practice;</w:t>
      </w:r>
    </w:p>
    <w:p w14:paraId="7F410B57" w14:textId="149AAC24" w:rsidR="004D0556" w:rsidRPr="00641D21" w:rsidRDefault="00641D21" w:rsidP="004D0556">
      <w:pPr>
        <w:pStyle w:val="SingleTxtG"/>
        <w:rPr>
          <w:b/>
          <w:bCs/>
        </w:rPr>
      </w:pPr>
      <w:r w:rsidRPr="00641D21">
        <w:rPr>
          <w:b/>
          <w:bCs/>
        </w:rPr>
        <w:tab/>
        <w:t>(b)</w:t>
      </w:r>
      <w:r w:rsidRPr="00641D21">
        <w:rPr>
          <w:b/>
          <w:bCs/>
        </w:rPr>
        <w:tab/>
        <w:t>T</w:t>
      </w:r>
      <w:r w:rsidR="00B91823" w:rsidRPr="00641D21">
        <w:rPr>
          <w:b/>
          <w:bCs/>
        </w:rPr>
        <w:t>ake measures necessary to ensure that public authorities conduct an equality test when preparing new regulations or poli</w:t>
      </w:r>
      <w:r w:rsidR="007D4B67" w:rsidRPr="00641D21">
        <w:rPr>
          <w:b/>
          <w:bCs/>
        </w:rPr>
        <w:t>cies that have impact on the enjoyment of economic, social and cultural rights by disadvantaged and marginalized individuals and groups, as provided for in the Law on the Amendments to the Law on Prohibition of Discrimination</w:t>
      </w:r>
      <w:r w:rsidRPr="00641D21">
        <w:rPr>
          <w:b/>
          <w:bCs/>
        </w:rPr>
        <w:t>;</w:t>
      </w:r>
    </w:p>
    <w:p w14:paraId="0CCA9D8C" w14:textId="6CF6434F" w:rsidR="00641D21" w:rsidRPr="00641D21" w:rsidRDefault="00641D21" w:rsidP="004D0556">
      <w:pPr>
        <w:pStyle w:val="SingleTxtG"/>
        <w:rPr>
          <w:b/>
          <w:bCs/>
        </w:rPr>
      </w:pPr>
      <w:r w:rsidRPr="00641D21">
        <w:rPr>
          <w:b/>
          <w:bCs/>
        </w:rPr>
        <w:tab/>
        <w:t>(c)</w:t>
      </w:r>
      <w:r w:rsidRPr="00641D21">
        <w:rPr>
          <w:b/>
          <w:bCs/>
        </w:rPr>
        <w:tab/>
      </w:r>
      <w:r w:rsidR="007D68E4">
        <w:rPr>
          <w:b/>
          <w:bCs/>
        </w:rPr>
        <w:t xml:space="preserve">Enhance </w:t>
      </w:r>
      <w:r w:rsidR="00286C5D">
        <w:rPr>
          <w:b/>
          <w:bCs/>
        </w:rPr>
        <w:t>awareness and sensitization</w:t>
      </w:r>
      <w:r w:rsidR="007D68E4">
        <w:rPr>
          <w:b/>
          <w:bCs/>
        </w:rPr>
        <w:t>,</w:t>
      </w:r>
      <w:r w:rsidR="00286C5D">
        <w:rPr>
          <w:b/>
          <w:bCs/>
        </w:rPr>
        <w:t xml:space="preserve"> </w:t>
      </w:r>
      <w:r w:rsidR="0054302E">
        <w:rPr>
          <w:b/>
          <w:bCs/>
        </w:rPr>
        <w:t>including regarding online hate speech</w:t>
      </w:r>
      <w:r w:rsidR="007D68E4">
        <w:rPr>
          <w:b/>
          <w:bCs/>
        </w:rPr>
        <w:t>, among public officials and the public</w:t>
      </w:r>
      <w:r w:rsidRPr="00641D21">
        <w:rPr>
          <w:b/>
          <w:bCs/>
        </w:rPr>
        <w:t>.</w:t>
      </w:r>
    </w:p>
    <w:p w14:paraId="741F4AD7" w14:textId="29527E81" w:rsidR="00EC306F" w:rsidRDefault="007D68E4" w:rsidP="00EC306F">
      <w:pPr>
        <w:pStyle w:val="H23G"/>
      </w:pPr>
      <w:r>
        <w:tab/>
      </w:r>
      <w:r>
        <w:tab/>
      </w:r>
      <w:r w:rsidR="007B0166">
        <w:t xml:space="preserve">Identity </w:t>
      </w:r>
      <w:r w:rsidR="00EC306F">
        <w:t>document</w:t>
      </w:r>
      <w:r w:rsidR="00E76B2B">
        <w:t>s</w:t>
      </w:r>
    </w:p>
    <w:p w14:paraId="6F871C67" w14:textId="47B4C2D3" w:rsidR="00EC306F" w:rsidRPr="001E09B0" w:rsidRDefault="007D68E4" w:rsidP="00442AD1">
      <w:pPr>
        <w:pStyle w:val="SingleTxtG"/>
        <w:numPr>
          <w:ilvl w:val="0"/>
          <w:numId w:val="32"/>
        </w:numPr>
        <w:tabs>
          <w:tab w:val="clear" w:pos="1701"/>
          <w:tab w:val="clear" w:pos="2268"/>
          <w:tab w:val="clear" w:pos="2835"/>
        </w:tabs>
        <w:ind w:left="1134" w:firstLine="0"/>
        <w:rPr>
          <w:bCs/>
        </w:rPr>
      </w:pPr>
      <w:r>
        <w:t>In light of the fact</w:t>
      </w:r>
      <w:r w:rsidR="00EC306F">
        <w:t xml:space="preserve"> that the possession of </w:t>
      </w:r>
      <w:r w:rsidR="00B36B03">
        <w:t xml:space="preserve">identity </w:t>
      </w:r>
      <w:r w:rsidR="00EC306F">
        <w:t xml:space="preserve">documents is a prerequisite for accessing </w:t>
      </w:r>
      <w:r w:rsidR="0079727A">
        <w:t xml:space="preserve">most </w:t>
      </w:r>
      <w:r w:rsidR="00EC306F">
        <w:t xml:space="preserve">social services, the Committee </w:t>
      </w:r>
      <w:r w:rsidR="007F2AE8">
        <w:t xml:space="preserve">is deeply concerned about </w:t>
      </w:r>
      <w:r w:rsidR="00107159">
        <w:t>the large</w:t>
      </w:r>
      <w:r w:rsidR="007F2AE8">
        <w:t xml:space="preserve"> number of </w:t>
      </w:r>
      <w:r w:rsidR="0079727A">
        <w:t xml:space="preserve">children whose birth cannot be </w:t>
      </w:r>
      <w:r w:rsidR="007F2AE8">
        <w:t>register</w:t>
      </w:r>
      <w:r w:rsidR="0079727A">
        <w:t>ed</w:t>
      </w:r>
      <w:r w:rsidR="00107159">
        <w:t xml:space="preserve"> and </w:t>
      </w:r>
      <w:r w:rsidR="0079727A">
        <w:t xml:space="preserve">persons whose </w:t>
      </w:r>
      <w:r w:rsidR="00EC306F">
        <w:t>residence</w:t>
      </w:r>
      <w:r w:rsidR="007F2AE8">
        <w:t xml:space="preserve"> </w:t>
      </w:r>
      <w:r w:rsidR="0079727A">
        <w:t xml:space="preserve">cannot be registered </w:t>
      </w:r>
      <w:r w:rsidR="007F2AE8">
        <w:t xml:space="preserve">at </w:t>
      </w:r>
      <w:r w:rsidR="0079727A">
        <w:t xml:space="preserve">the address of a </w:t>
      </w:r>
      <w:r w:rsidR="007F2AE8">
        <w:t>social welfare centre as provided for in the Law on Permanent and Temporary Residence of Citizens and the consequent restrictions on their access to social services</w:t>
      </w:r>
      <w:r w:rsidR="00E76B2B">
        <w:t xml:space="preserve"> (</w:t>
      </w:r>
      <w:r w:rsidR="000E3AB6">
        <w:t>Arts. 2(</w:t>
      </w:r>
      <w:r w:rsidR="00FA133E">
        <w:t>2</w:t>
      </w:r>
      <w:r w:rsidR="000E3AB6">
        <w:t xml:space="preserve">), </w:t>
      </w:r>
      <w:r w:rsidR="00FA133E">
        <w:t>6, 9, 11, 12, 13 and 14)</w:t>
      </w:r>
      <w:r w:rsidR="007F2AE8">
        <w:t xml:space="preserve">. </w:t>
      </w:r>
    </w:p>
    <w:p w14:paraId="7B081EEC" w14:textId="4676994E" w:rsidR="00FE28FC" w:rsidRPr="00FE28FC" w:rsidRDefault="00EC306F" w:rsidP="00442AD1">
      <w:pPr>
        <w:pStyle w:val="SingleTxtG"/>
        <w:numPr>
          <w:ilvl w:val="0"/>
          <w:numId w:val="32"/>
        </w:numPr>
        <w:tabs>
          <w:tab w:val="clear" w:pos="1701"/>
          <w:tab w:val="clear" w:pos="2268"/>
          <w:tab w:val="clear" w:pos="2835"/>
        </w:tabs>
        <w:ind w:left="1134" w:firstLine="0"/>
        <w:rPr>
          <w:b/>
          <w:bCs/>
        </w:rPr>
      </w:pPr>
      <w:r w:rsidRPr="008870BD">
        <w:rPr>
          <w:b/>
        </w:rPr>
        <w:t>The</w:t>
      </w:r>
      <w:r w:rsidRPr="00FE28FC">
        <w:rPr>
          <w:b/>
          <w:bCs/>
        </w:rPr>
        <w:t xml:space="preserve"> Committee </w:t>
      </w:r>
      <w:r w:rsidR="00791C44" w:rsidRPr="00FE28FC">
        <w:rPr>
          <w:b/>
          <w:bCs/>
        </w:rPr>
        <w:t>urges the State party to take the immediate steps taken to</w:t>
      </w:r>
      <w:r w:rsidR="00FE28FC" w:rsidRPr="00FE28FC">
        <w:rPr>
          <w:b/>
          <w:bCs/>
        </w:rPr>
        <w:t>;</w:t>
      </w:r>
      <w:r w:rsidR="00791C44" w:rsidRPr="00FE28FC">
        <w:rPr>
          <w:b/>
          <w:bCs/>
        </w:rPr>
        <w:t xml:space="preserve"> </w:t>
      </w:r>
    </w:p>
    <w:p w14:paraId="2D5996D4" w14:textId="7CA2E407" w:rsidR="00EC306F" w:rsidRPr="00FE28FC" w:rsidRDefault="00FE28FC" w:rsidP="00EC306F">
      <w:pPr>
        <w:pStyle w:val="SingleTxtG"/>
        <w:rPr>
          <w:b/>
          <w:bCs/>
        </w:rPr>
      </w:pPr>
      <w:r w:rsidRPr="00FE28FC">
        <w:rPr>
          <w:b/>
          <w:bCs/>
        </w:rPr>
        <w:tab/>
        <w:t>(a)</w:t>
      </w:r>
      <w:r w:rsidRPr="00FE28FC">
        <w:rPr>
          <w:b/>
          <w:bCs/>
        </w:rPr>
        <w:tab/>
        <w:t>R</w:t>
      </w:r>
      <w:r w:rsidR="00791C44" w:rsidRPr="00FE28FC">
        <w:rPr>
          <w:b/>
          <w:bCs/>
        </w:rPr>
        <w:t>ectify the situation in which persons with</w:t>
      </w:r>
      <w:r w:rsidR="004A37A5">
        <w:rPr>
          <w:b/>
          <w:bCs/>
        </w:rPr>
        <w:t>out</w:t>
      </w:r>
      <w:r w:rsidR="00791C44" w:rsidRPr="00FE28FC">
        <w:rPr>
          <w:b/>
          <w:bCs/>
        </w:rPr>
        <w:t xml:space="preserve"> </w:t>
      </w:r>
      <w:r w:rsidR="00B36B03">
        <w:rPr>
          <w:b/>
          <w:bCs/>
        </w:rPr>
        <w:t>identity</w:t>
      </w:r>
      <w:r w:rsidR="00791C44" w:rsidRPr="00FE28FC">
        <w:rPr>
          <w:b/>
          <w:bCs/>
        </w:rPr>
        <w:t xml:space="preserve"> documents are denied in accessing social services, including social protection, healthcare services and education</w:t>
      </w:r>
      <w:r w:rsidRPr="00FE28FC">
        <w:rPr>
          <w:b/>
          <w:bCs/>
        </w:rPr>
        <w:t>;</w:t>
      </w:r>
    </w:p>
    <w:p w14:paraId="0F43A7CD" w14:textId="5EC9B2AA" w:rsidR="00791C44" w:rsidRPr="00FE28FC" w:rsidRDefault="00791C44" w:rsidP="00EC306F">
      <w:pPr>
        <w:pStyle w:val="SingleTxtG"/>
        <w:rPr>
          <w:b/>
          <w:bCs/>
        </w:rPr>
      </w:pPr>
      <w:r w:rsidRPr="00FE28FC">
        <w:rPr>
          <w:b/>
          <w:bCs/>
        </w:rPr>
        <w:tab/>
      </w:r>
      <w:r w:rsidRPr="005B7311">
        <w:rPr>
          <w:b/>
          <w:bCs/>
        </w:rPr>
        <w:t>(</w:t>
      </w:r>
      <w:r w:rsidR="00FE28FC" w:rsidRPr="005B7311">
        <w:rPr>
          <w:b/>
          <w:bCs/>
        </w:rPr>
        <w:t>b</w:t>
      </w:r>
      <w:r w:rsidRPr="005B7311">
        <w:rPr>
          <w:b/>
          <w:bCs/>
        </w:rPr>
        <w:t>)</w:t>
      </w:r>
      <w:r w:rsidRPr="00FE28FC">
        <w:rPr>
          <w:b/>
          <w:bCs/>
        </w:rPr>
        <w:tab/>
        <w:t xml:space="preserve">Expand the application of the Law on Permanent and Temporary Residence of Citizens to the internally displaced persons </w:t>
      </w:r>
      <w:r w:rsidR="004A37A5">
        <w:rPr>
          <w:b/>
          <w:bCs/>
        </w:rPr>
        <w:t xml:space="preserve">living in informal settlements </w:t>
      </w:r>
      <w:r w:rsidRPr="00FE28FC">
        <w:rPr>
          <w:b/>
          <w:bCs/>
        </w:rPr>
        <w:t xml:space="preserve">who have registered their permanent residence in </w:t>
      </w:r>
      <w:r w:rsidR="008B66AE" w:rsidRPr="00FE28FC">
        <w:rPr>
          <w:b/>
          <w:bCs/>
        </w:rPr>
        <w:t>Kosovo</w:t>
      </w:r>
      <w:r w:rsidR="00E76B2B" w:rsidRPr="00B36B03">
        <w:rPr>
          <w:b/>
          <w:bCs/>
          <w:vertAlign w:val="superscript"/>
        </w:rPr>
        <w:footnoteReference w:id="6"/>
      </w:r>
      <w:r w:rsidR="008B66AE" w:rsidRPr="00FE28FC">
        <w:rPr>
          <w:b/>
          <w:bCs/>
        </w:rPr>
        <w:t xml:space="preserve"> with a view to allowing them to register their residence at the address of a social welfare centre;</w:t>
      </w:r>
    </w:p>
    <w:p w14:paraId="3E61E197" w14:textId="5CFBB51E" w:rsidR="008B66AE" w:rsidRPr="00FE28FC" w:rsidRDefault="008B66AE" w:rsidP="00EC306F">
      <w:pPr>
        <w:pStyle w:val="SingleTxtG"/>
        <w:rPr>
          <w:b/>
          <w:bCs/>
        </w:rPr>
      </w:pPr>
      <w:r w:rsidRPr="00FE28FC">
        <w:rPr>
          <w:b/>
          <w:bCs/>
        </w:rPr>
        <w:lastRenderedPageBreak/>
        <w:tab/>
      </w:r>
      <w:r w:rsidRPr="005B7311">
        <w:rPr>
          <w:b/>
          <w:bCs/>
        </w:rPr>
        <w:t>(</w:t>
      </w:r>
      <w:r w:rsidR="00FE28FC" w:rsidRPr="005B7311">
        <w:rPr>
          <w:b/>
          <w:bCs/>
        </w:rPr>
        <w:t>c</w:t>
      </w:r>
      <w:r w:rsidRPr="005B7311">
        <w:rPr>
          <w:b/>
          <w:bCs/>
        </w:rPr>
        <w:t>)</w:t>
      </w:r>
      <w:r w:rsidRPr="00FE28FC">
        <w:rPr>
          <w:b/>
          <w:bCs/>
        </w:rPr>
        <w:tab/>
        <w:t xml:space="preserve">Review legislation relating to birth registration, including </w:t>
      </w:r>
      <w:r w:rsidR="007D68E4">
        <w:rPr>
          <w:b/>
          <w:bCs/>
        </w:rPr>
        <w:t>bylaws</w:t>
      </w:r>
      <w:r w:rsidR="00FE28FC" w:rsidRPr="00FE28FC">
        <w:rPr>
          <w:b/>
          <w:bCs/>
        </w:rPr>
        <w:t>, with a view to ensuring that the birth of all children in Serbia is registered.</w:t>
      </w:r>
    </w:p>
    <w:p w14:paraId="36F98787" w14:textId="37F16DB7" w:rsidR="004D0556" w:rsidRDefault="004D0556" w:rsidP="004D0556">
      <w:pPr>
        <w:pStyle w:val="H23G"/>
      </w:pPr>
      <w:r>
        <w:tab/>
      </w:r>
      <w:r>
        <w:tab/>
      </w:r>
      <w:r w:rsidRPr="00E62948">
        <w:t>Refugees, asylum seekers</w:t>
      </w:r>
      <w:r w:rsidR="00FE0F98" w:rsidRPr="00E62948">
        <w:t xml:space="preserve"> and</w:t>
      </w:r>
      <w:r w:rsidRPr="00E62948">
        <w:t xml:space="preserve"> migrants</w:t>
      </w:r>
    </w:p>
    <w:p w14:paraId="1C746B07" w14:textId="1064FCF1" w:rsidR="00CC4B3C" w:rsidRPr="007C6B94" w:rsidRDefault="004D0556" w:rsidP="00442AD1">
      <w:pPr>
        <w:pStyle w:val="SingleTxtG"/>
        <w:numPr>
          <w:ilvl w:val="0"/>
          <w:numId w:val="32"/>
        </w:numPr>
        <w:tabs>
          <w:tab w:val="clear" w:pos="1701"/>
          <w:tab w:val="clear" w:pos="2268"/>
          <w:tab w:val="clear" w:pos="2835"/>
        </w:tabs>
        <w:ind w:left="1134" w:firstLine="0"/>
      </w:pPr>
      <w:r w:rsidRPr="001E09B0">
        <w:rPr>
          <w:bCs/>
        </w:rPr>
        <w:t xml:space="preserve">The Committee </w:t>
      </w:r>
      <w:r w:rsidR="00FE0F98">
        <w:rPr>
          <w:bCs/>
        </w:rPr>
        <w:t>is concerned about the shortcomings of the asylum procedure</w:t>
      </w:r>
      <w:r w:rsidR="00CE056F">
        <w:rPr>
          <w:bCs/>
        </w:rPr>
        <w:t>; the</w:t>
      </w:r>
      <w:r w:rsidR="009469C2">
        <w:rPr>
          <w:bCs/>
        </w:rPr>
        <w:t xml:space="preserve"> continuing</w:t>
      </w:r>
      <w:r w:rsidR="00F16A46">
        <w:rPr>
          <w:bCs/>
        </w:rPr>
        <w:t xml:space="preserve"> </w:t>
      </w:r>
      <w:r w:rsidR="00CA3734">
        <w:rPr>
          <w:bCs/>
        </w:rPr>
        <w:t>inadequate reception conditions,</w:t>
      </w:r>
      <w:r w:rsidR="00CE056F">
        <w:rPr>
          <w:bCs/>
        </w:rPr>
        <w:t xml:space="preserve"> and</w:t>
      </w:r>
      <w:r w:rsidR="00CA3734">
        <w:rPr>
          <w:bCs/>
        </w:rPr>
        <w:t xml:space="preserve"> the insufficient protection and support provided for u</w:t>
      </w:r>
      <w:r w:rsidR="00CC4B3C" w:rsidRPr="007C6B94">
        <w:t>naccompanied and separated children</w:t>
      </w:r>
      <w:r w:rsidR="00B968B7">
        <w:t xml:space="preserve"> (Arts. 2(2) and 10)</w:t>
      </w:r>
      <w:r w:rsidR="00CA3734">
        <w:t>.</w:t>
      </w:r>
    </w:p>
    <w:p w14:paraId="623CC5B5" w14:textId="4B0C6EC8" w:rsidR="00CE056F" w:rsidRPr="00E62948" w:rsidRDefault="004D0556" w:rsidP="00442AD1">
      <w:pPr>
        <w:pStyle w:val="SingleTxtG"/>
        <w:numPr>
          <w:ilvl w:val="0"/>
          <w:numId w:val="32"/>
        </w:numPr>
        <w:tabs>
          <w:tab w:val="clear" w:pos="1701"/>
          <w:tab w:val="clear" w:pos="2268"/>
          <w:tab w:val="clear" w:pos="2835"/>
        </w:tabs>
        <w:ind w:left="1134" w:firstLine="0"/>
        <w:rPr>
          <w:b/>
          <w:bCs/>
        </w:rPr>
      </w:pPr>
      <w:r w:rsidRPr="00E62948">
        <w:rPr>
          <w:b/>
          <w:bCs/>
        </w:rPr>
        <w:t>The Committee recommends</w:t>
      </w:r>
      <w:r w:rsidR="00CA3734" w:rsidRPr="00E62948">
        <w:rPr>
          <w:b/>
          <w:bCs/>
        </w:rPr>
        <w:t xml:space="preserve"> that the State party</w:t>
      </w:r>
      <w:r w:rsidR="00CE056F" w:rsidRPr="00E62948">
        <w:rPr>
          <w:b/>
          <w:bCs/>
        </w:rPr>
        <w:t>:</w:t>
      </w:r>
      <w:r w:rsidR="00CA3734" w:rsidRPr="00E62948">
        <w:rPr>
          <w:b/>
          <w:bCs/>
        </w:rPr>
        <w:t xml:space="preserve"> </w:t>
      </w:r>
    </w:p>
    <w:p w14:paraId="59D00206" w14:textId="54B3C49D" w:rsidR="004D0556" w:rsidRPr="00E62948" w:rsidRDefault="00CE056F" w:rsidP="004D0556">
      <w:pPr>
        <w:pStyle w:val="SingleTxtG"/>
        <w:rPr>
          <w:b/>
          <w:bCs/>
        </w:rPr>
      </w:pPr>
      <w:r w:rsidRPr="00E62948">
        <w:rPr>
          <w:b/>
          <w:bCs/>
        </w:rPr>
        <w:tab/>
        <w:t>(a)</w:t>
      </w:r>
      <w:r w:rsidRPr="00E62948">
        <w:rPr>
          <w:b/>
          <w:bCs/>
        </w:rPr>
        <w:tab/>
        <w:t>I</w:t>
      </w:r>
      <w:r w:rsidR="00CA3734" w:rsidRPr="00E62948">
        <w:rPr>
          <w:b/>
          <w:bCs/>
        </w:rPr>
        <w:t>mprove the asylum procedures</w:t>
      </w:r>
      <w:r w:rsidRPr="00E62948">
        <w:rPr>
          <w:b/>
          <w:bCs/>
        </w:rPr>
        <w:t xml:space="preserve"> </w:t>
      </w:r>
      <w:r w:rsidR="0027077E">
        <w:rPr>
          <w:b/>
          <w:bCs/>
        </w:rPr>
        <w:t>with a view</w:t>
      </w:r>
      <w:r w:rsidRPr="00E62948">
        <w:rPr>
          <w:b/>
          <w:bCs/>
        </w:rPr>
        <w:t xml:space="preserve"> ensuring the consistency of decisions and </w:t>
      </w:r>
      <w:r w:rsidR="0027077E">
        <w:rPr>
          <w:b/>
          <w:bCs/>
        </w:rPr>
        <w:t xml:space="preserve">the compliance with </w:t>
      </w:r>
      <w:r w:rsidRPr="00E62948">
        <w:rPr>
          <w:b/>
          <w:bCs/>
        </w:rPr>
        <w:t xml:space="preserve">the statutory deadlines; </w:t>
      </w:r>
    </w:p>
    <w:p w14:paraId="760758E8" w14:textId="6021CE5B" w:rsidR="00CE056F" w:rsidRPr="00E62948" w:rsidRDefault="00CE056F" w:rsidP="004D0556">
      <w:pPr>
        <w:pStyle w:val="SingleTxtG"/>
        <w:rPr>
          <w:b/>
          <w:bCs/>
        </w:rPr>
      </w:pPr>
      <w:r w:rsidRPr="00E62948">
        <w:rPr>
          <w:b/>
          <w:bCs/>
        </w:rPr>
        <w:tab/>
        <w:t>(b)</w:t>
      </w:r>
      <w:r w:rsidRPr="00E62948">
        <w:rPr>
          <w:b/>
          <w:bCs/>
        </w:rPr>
        <w:tab/>
        <w:t>Improve the conditions of reception centres</w:t>
      </w:r>
      <w:r w:rsidR="00E62948" w:rsidRPr="00E62948">
        <w:rPr>
          <w:b/>
          <w:bCs/>
        </w:rPr>
        <w:t xml:space="preserve"> and access to healthcare and other basic services</w:t>
      </w:r>
      <w:r w:rsidRPr="00E62948">
        <w:rPr>
          <w:b/>
          <w:bCs/>
        </w:rPr>
        <w:t>;</w:t>
      </w:r>
    </w:p>
    <w:p w14:paraId="739BF0CC" w14:textId="3ED2AE4A" w:rsidR="00CE056F" w:rsidRPr="00E62948" w:rsidRDefault="00CE056F" w:rsidP="004D0556">
      <w:pPr>
        <w:pStyle w:val="SingleTxtG"/>
        <w:rPr>
          <w:b/>
          <w:bCs/>
        </w:rPr>
      </w:pPr>
      <w:r w:rsidRPr="00E62948">
        <w:rPr>
          <w:b/>
          <w:bCs/>
        </w:rPr>
        <w:tab/>
        <w:t>(c)</w:t>
      </w:r>
      <w:r w:rsidRPr="00E62948">
        <w:rPr>
          <w:b/>
          <w:bCs/>
        </w:rPr>
        <w:tab/>
        <w:t xml:space="preserve">Provide </w:t>
      </w:r>
      <w:r w:rsidR="00E62948" w:rsidRPr="00E62948">
        <w:rPr>
          <w:b/>
          <w:bCs/>
        </w:rPr>
        <w:t xml:space="preserve">all </w:t>
      </w:r>
      <w:r w:rsidRPr="00E62948">
        <w:rPr>
          <w:b/>
          <w:bCs/>
        </w:rPr>
        <w:t>unaccompanied and separated children</w:t>
      </w:r>
      <w:r w:rsidR="00E62948" w:rsidRPr="00E62948">
        <w:rPr>
          <w:b/>
          <w:bCs/>
        </w:rPr>
        <w:t xml:space="preserve"> with alternative care arrangements and guardian</w:t>
      </w:r>
      <w:r w:rsidR="0027077E">
        <w:rPr>
          <w:b/>
          <w:bCs/>
        </w:rPr>
        <w:t>ship</w:t>
      </w:r>
      <w:r w:rsidR="00E62948" w:rsidRPr="00E62948">
        <w:rPr>
          <w:b/>
          <w:bCs/>
        </w:rPr>
        <w:t xml:space="preserve"> protection and ensure that they continue education with adequate support, including </w:t>
      </w:r>
      <w:r w:rsidR="0027077E">
        <w:rPr>
          <w:b/>
          <w:bCs/>
        </w:rPr>
        <w:t>adequate</w:t>
      </w:r>
      <w:r w:rsidR="00E62948" w:rsidRPr="00E62948">
        <w:rPr>
          <w:b/>
          <w:bCs/>
        </w:rPr>
        <w:t xml:space="preserve"> language learning.</w:t>
      </w:r>
    </w:p>
    <w:p w14:paraId="69DA563D" w14:textId="77777777" w:rsidR="00DD3977" w:rsidRDefault="00DD3977" w:rsidP="00DD3977">
      <w:pPr>
        <w:pStyle w:val="H23G"/>
      </w:pPr>
      <w:r>
        <w:tab/>
      </w:r>
      <w:r>
        <w:tab/>
        <w:t>Persons with disabilities</w:t>
      </w:r>
    </w:p>
    <w:p w14:paraId="022AB185" w14:textId="5D37DE65" w:rsidR="003E70A6" w:rsidRDefault="003E70A6" w:rsidP="00442AD1">
      <w:pPr>
        <w:pStyle w:val="SingleTxtG"/>
        <w:numPr>
          <w:ilvl w:val="0"/>
          <w:numId w:val="32"/>
        </w:numPr>
        <w:tabs>
          <w:tab w:val="clear" w:pos="1701"/>
          <w:tab w:val="clear" w:pos="2268"/>
          <w:tab w:val="clear" w:pos="2835"/>
        </w:tabs>
        <w:ind w:left="1134" w:firstLine="0"/>
        <w:rPr>
          <w:bCs/>
        </w:rPr>
      </w:pPr>
      <w:r w:rsidRPr="001E09B0">
        <w:rPr>
          <w:bCs/>
        </w:rPr>
        <w:t xml:space="preserve">The Committee </w:t>
      </w:r>
      <w:r>
        <w:rPr>
          <w:bCs/>
        </w:rPr>
        <w:t xml:space="preserve">is concerned </w:t>
      </w:r>
      <w:r w:rsidR="009E6944">
        <w:rPr>
          <w:bCs/>
        </w:rPr>
        <w:t xml:space="preserve">that </w:t>
      </w:r>
      <w:r>
        <w:rPr>
          <w:bCs/>
        </w:rPr>
        <w:t xml:space="preserve">the denial of reasonable accommodation </w:t>
      </w:r>
      <w:r w:rsidR="009E6944">
        <w:rPr>
          <w:bCs/>
        </w:rPr>
        <w:t>for persons with disabilities i</w:t>
      </w:r>
      <w:r>
        <w:rPr>
          <w:bCs/>
        </w:rPr>
        <w:t xml:space="preserve">s </w:t>
      </w:r>
      <w:r w:rsidR="009E6944">
        <w:rPr>
          <w:bCs/>
        </w:rPr>
        <w:t xml:space="preserve">not recognised as </w:t>
      </w:r>
      <w:r>
        <w:rPr>
          <w:bCs/>
        </w:rPr>
        <w:t>a form of discrimination and</w:t>
      </w:r>
      <w:r w:rsidR="00E76B2B">
        <w:rPr>
          <w:bCs/>
        </w:rPr>
        <w:t xml:space="preserve"> that</w:t>
      </w:r>
      <w:r>
        <w:rPr>
          <w:bCs/>
        </w:rPr>
        <w:t xml:space="preserve"> public facilities and public transport</w:t>
      </w:r>
      <w:r w:rsidR="00E76B2B">
        <w:rPr>
          <w:bCs/>
        </w:rPr>
        <w:t xml:space="preserve"> are largely inaccessible by persons with disabilities</w:t>
      </w:r>
      <w:r>
        <w:rPr>
          <w:bCs/>
        </w:rPr>
        <w:t xml:space="preserve">. It is also concerned </w:t>
      </w:r>
      <w:r w:rsidR="0027077E">
        <w:rPr>
          <w:bCs/>
        </w:rPr>
        <w:t xml:space="preserve">about </w:t>
      </w:r>
      <w:r>
        <w:rPr>
          <w:bCs/>
        </w:rPr>
        <w:t>the continuing institutionalization of persons with disabilities and</w:t>
      </w:r>
      <w:r w:rsidR="0027077E">
        <w:rPr>
          <w:bCs/>
        </w:rPr>
        <w:t xml:space="preserve"> the</w:t>
      </w:r>
      <w:r>
        <w:rPr>
          <w:bCs/>
        </w:rPr>
        <w:t xml:space="preserve"> limited availability of community-based services. It is further concerned about the persistently low level of employment and social integration of persons with disabilities</w:t>
      </w:r>
      <w:r w:rsidR="007533F7">
        <w:rPr>
          <w:bCs/>
        </w:rPr>
        <w:t xml:space="preserve"> </w:t>
      </w:r>
      <w:r w:rsidR="007533F7">
        <w:t>(Arts. 2(2) and 6)</w:t>
      </w:r>
      <w:r>
        <w:rPr>
          <w:bCs/>
        </w:rPr>
        <w:t>.</w:t>
      </w:r>
    </w:p>
    <w:p w14:paraId="016EADBC" w14:textId="16ED8D1A" w:rsidR="00E64A9C" w:rsidRPr="00E64A9C" w:rsidRDefault="00DD3977" w:rsidP="00442AD1">
      <w:pPr>
        <w:pStyle w:val="SingleTxtG"/>
        <w:numPr>
          <w:ilvl w:val="0"/>
          <w:numId w:val="32"/>
        </w:numPr>
        <w:tabs>
          <w:tab w:val="clear" w:pos="1701"/>
          <w:tab w:val="clear" w:pos="2268"/>
          <w:tab w:val="clear" w:pos="2835"/>
        </w:tabs>
        <w:ind w:left="1134" w:firstLine="0"/>
        <w:rPr>
          <w:b/>
          <w:bCs/>
        </w:rPr>
      </w:pPr>
      <w:r w:rsidRPr="00E64A9C">
        <w:rPr>
          <w:b/>
          <w:bCs/>
        </w:rPr>
        <w:t>The Committee recommends</w:t>
      </w:r>
      <w:r w:rsidR="00FE28FC" w:rsidRPr="00E64A9C">
        <w:rPr>
          <w:b/>
          <w:bCs/>
        </w:rPr>
        <w:t xml:space="preserve"> that the State party</w:t>
      </w:r>
      <w:r w:rsidR="00E64A9C" w:rsidRPr="00E64A9C">
        <w:rPr>
          <w:b/>
          <w:bCs/>
        </w:rPr>
        <w:t xml:space="preserve">: </w:t>
      </w:r>
    </w:p>
    <w:p w14:paraId="2CF9001C" w14:textId="3D370B78" w:rsidR="00DD3977" w:rsidRPr="00E64A9C" w:rsidRDefault="00E64A9C" w:rsidP="00DD3977">
      <w:pPr>
        <w:pStyle w:val="SingleTxtG"/>
        <w:rPr>
          <w:b/>
          <w:bCs/>
        </w:rPr>
      </w:pPr>
      <w:r w:rsidRPr="00E64A9C">
        <w:rPr>
          <w:b/>
          <w:bCs/>
        </w:rPr>
        <w:tab/>
        <w:t>(a)</w:t>
      </w:r>
      <w:r w:rsidRPr="00E64A9C">
        <w:rPr>
          <w:b/>
          <w:bCs/>
        </w:rPr>
        <w:tab/>
        <w:t xml:space="preserve">Ensure the legal recognition of the denial of reasonable </w:t>
      </w:r>
      <w:r w:rsidR="00FE28FC" w:rsidRPr="00E64A9C">
        <w:rPr>
          <w:b/>
          <w:bCs/>
        </w:rPr>
        <w:t>accommodation</w:t>
      </w:r>
      <w:r w:rsidRPr="00E64A9C">
        <w:rPr>
          <w:b/>
          <w:bCs/>
        </w:rPr>
        <w:t xml:space="preserve"> </w:t>
      </w:r>
      <w:r w:rsidR="00FE28FC" w:rsidRPr="00E64A9C">
        <w:rPr>
          <w:b/>
          <w:bCs/>
        </w:rPr>
        <w:t>as a form of discrimination</w:t>
      </w:r>
      <w:r w:rsidRPr="00E64A9C">
        <w:rPr>
          <w:b/>
          <w:bCs/>
        </w:rPr>
        <w:t xml:space="preserve"> and the provision of reasonable accommodation, particularly in the workplace and at school;</w:t>
      </w:r>
    </w:p>
    <w:p w14:paraId="22B8198A" w14:textId="0676F95A" w:rsidR="004846EB" w:rsidRPr="00E64A9C" w:rsidRDefault="00E64A9C" w:rsidP="00DD3977">
      <w:pPr>
        <w:pStyle w:val="SingleTxtG"/>
        <w:rPr>
          <w:b/>
          <w:bCs/>
        </w:rPr>
      </w:pPr>
      <w:r w:rsidRPr="00E64A9C">
        <w:rPr>
          <w:b/>
          <w:bCs/>
        </w:rPr>
        <w:tab/>
        <w:t>(b)</w:t>
      </w:r>
      <w:r w:rsidRPr="00E64A9C">
        <w:rPr>
          <w:b/>
          <w:bCs/>
        </w:rPr>
        <w:tab/>
        <w:t xml:space="preserve">Improve accessibility to public facilities, </w:t>
      </w:r>
      <w:r w:rsidR="004846EB" w:rsidRPr="00E64A9C">
        <w:rPr>
          <w:b/>
          <w:bCs/>
        </w:rPr>
        <w:t>including medical clinics</w:t>
      </w:r>
      <w:r w:rsidR="00E76B2B">
        <w:rPr>
          <w:b/>
          <w:bCs/>
        </w:rPr>
        <w:t>,</w:t>
      </w:r>
      <w:r w:rsidR="004846EB" w:rsidRPr="00E64A9C">
        <w:rPr>
          <w:b/>
          <w:bCs/>
        </w:rPr>
        <w:t xml:space="preserve"> and </w:t>
      </w:r>
      <w:r w:rsidRPr="00E64A9C">
        <w:rPr>
          <w:b/>
          <w:bCs/>
        </w:rPr>
        <w:t>public transport;</w:t>
      </w:r>
    </w:p>
    <w:p w14:paraId="12B9E3F4" w14:textId="7DF713E3" w:rsidR="00E64A9C" w:rsidRPr="00E64A9C" w:rsidRDefault="00E64A9C" w:rsidP="00DD3977">
      <w:pPr>
        <w:pStyle w:val="SingleTxtG"/>
        <w:rPr>
          <w:b/>
          <w:bCs/>
        </w:rPr>
      </w:pPr>
      <w:r w:rsidRPr="00E64A9C">
        <w:rPr>
          <w:b/>
          <w:bCs/>
        </w:rPr>
        <w:tab/>
        <w:t>(c)</w:t>
      </w:r>
      <w:r w:rsidRPr="00E64A9C">
        <w:rPr>
          <w:b/>
          <w:bCs/>
        </w:rPr>
        <w:tab/>
        <w:t>Facilitate the deinstitutionalization of persons with disabilities and expand community-based services for them;</w:t>
      </w:r>
    </w:p>
    <w:p w14:paraId="0AC2E407" w14:textId="4B9FB76F" w:rsidR="00E64A9C" w:rsidRPr="00E64A9C" w:rsidRDefault="00E64A9C" w:rsidP="00DD3977">
      <w:pPr>
        <w:pStyle w:val="SingleTxtG"/>
        <w:rPr>
          <w:b/>
          <w:bCs/>
        </w:rPr>
      </w:pPr>
      <w:r w:rsidRPr="00E64A9C">
        <w:rPr>
          <w:b/>
          <w:bCs/>
        </w:rPr>
        <w:tab/>
        <w:t>(d)</w:t>
      </w:r>
      <w:r w:rsidRPr="00E64A9C">
        <w:rPr>
          <w:b/>
          <w:bCs/>
        </w:rPr>
        <w:tab/>
      </w:r>
      <w:r w:rsidR="0027077E">
        <w:rPr>
          <w:b/>
          <w:bCs/>
        </w:rPr>
        <w:t>I</w:t>
      </w:r>
      <w:r w:rsidRPr="00E64A9C">
        <w:rPr>
          <w:b/>
          <w:bCs/>
        </w:rPr>
        <w:t>mprove the employment of persons with disabilities, including by establishing incentives and special measures, and to integrate workers with disabilities in the mainstream labour market.</w:t>
      </w:r>
    </w:p>
    <w:p w14:paraId="6785F5C1" w14:textId="77777777" w:rsidR="004D0556" w:rsidRDefault="004D0556" w:rsidP="004D0556">
      <w:pPr>
        <w:pStyle w:val="H23G"/>
      </w:pPr>
      <w:r>
        <w:tab/>
      </w:r>
      <w:r>
        <w:tab/>
      </w:r>
      <w:r w:rsidRPr="00F67406">
        <w:t>Equality between men and women</w:t>
      </w:r>
    </w:p>
    <w:p w14:paraId="64366000" w14:textId="3131FBCA" w:rsidR="00A96FD2" w:rsidRDefault="00BE0549" w:rsidP="00442AD1">
      <w:pPr>
        <w:pStyle w:val="SingleTxtG"/>
        <w:numPr>
          <w:ilvl w:val="0"/>
          <w:numId w:val="32"/>
        </w:numPr>
        <w:tabs>
          <w:tab w:val="clear" w:pos="1701"/>
          <w:tab w:val="clear" w:pos="2268"/>
          <w:tab w:val="clear" w:pos="2835"/>
        </w:tabs>
        <w:ind w:left="1134" w:firstLine="0"/>
        <w:rPr>
          <w:bCs/>
        </w:rPr>
      </w:pPr>
      <w:r>
        <w:t xml:space="preserve">While noting the adoption of a new national Strategy for gender equality (2021-2030), the </w:t>
      </w:r>
      <w:r w:rsidR="00E76B2B">
        <w:t xml:space="preserve">Committee </w:t>
      </w:r>
      <w:r w:rsidR="00A96FD2">
        <w:rPr>
          <w:bCs/>
        </w:rPr>
        <w:t>is concerned about the in</w:t>
      </w:r>
      <w:r w:rsidR="007C2817">
        <w:rPr>
          <w:bCs/>
        </w:rPr>
        <w:t>sufficient impact</w:t>
      </w:r>
      <w:r w:rsidR="00A96FD2">
        <w:rPr>
          <w:bCs/>
        </w:rPr>
        <w:t xml:space="preserve"> of the national strategy for gender equality (2016-2020)</w:t>
      </w:r>
      <w:r w:rsidR="007C2817">
        <w:rPr>
          <w:bCs/>
        </w:rPr>
        <w:t xml:space="preserve">, particularly in relation to </w:t>
      </w:r>
      <w:r w:rsidR="00A96FD2">
        <w:rPr>
          <w:bCs/>
        </w:rPr>
        <w:t xml:space="preserve">women’s participation in labour force and employment. It is also concerned about </w:t>
      </w:r>
      <w:r w:rsidR="00040507">
        <w:rPr>
          <w:bCs/>
        </w:rPr>
        <w:t>the lack of protection and support provided for women to face the increased care responsibilities due to school closure and the heightened risk of domestic violence during the pandemic</w:t>
      </w:r>
      <w:r w:rsidR="00812821">
        <w:rPr>
          <w:bCs/>
        </w:rPr>
        <w:t xml:space="preserve"> (art. 3)</w:t>
      </w:r>
      <w:r w:rsidR="00E76B2B">
        <w:rPr>
          <w:bCs/>
        </w:rPr>
        <w:t>.</w:t>
      </w:r>
      <w:r w:rsidR="00812821">
        <w:rPr>
          <w:bCs/>
        </w:rPr>
        <w:t xml:space="preserve"> </w:t>
      </w:r>
    </w:p>
    <w:p w14:paraId="6EF9FF13" w14:textId="1BE9C4BA" w:rsidR="00767C3B" w:rsidRPr="00D63658" w:rsidRDefault="004D0556" w:rsidP="00442AD1">
      <w:pPr>
        <w:pStyle w:val="SingleTxtG"/>
        <w:numPr>
          <w:ilvl w:val="0"/>
          <w:numId w:val="32"/>
        </w:numPr>
        <w:tabs>
          <w:tab w:val="clear" w:pos="1701"/>
          <w:tab w:val="clear" w:pos="2268"/>
          <w:tab w:val="clear" w:pos="2835"/>
        </w:tabs>
        <w:ind w:left="1134" w:firstLine="0"/>
        <w:rPr>
          <w:b/>
          <w:bCs/>
        </w:rPr>
      </w:pPr>
      <w:r w:rsidRPr="00D63658">
        <w:rPr>
          <w:b/>
          <w:bCs/>
        </w:rPr>
        <w:t xml:space="preserve">The Committee </w:t>
      </w:r>
      <w:r w:rsidR="007C2817" w:rsidRPr="00D63658">
        <w:rPr>
          <w:b/>
          <w:bCs/>
        </w:rPr>
        <w:t>urges the State party to</w:t>
      </w:r>
      <w:r w:rsidR="00767C3B" w:rsidRPr="00D63658">
        <w:rPr>
          <w:b/>
          <w:bCs/>
        </w:rPr>
        <w:t>:</w:t>
      </w:r>
      <w:r w:rsidR="007C2817" w:rsidRPr="00D63658">
        <w:rPr>
          <w:b/>
          <w:bCs/>
        </w:rPr>
        <w:t xml:space="preserve"> </w:t>
      </w:r>
    </w:p>
    <w:p w14:paraId="1287E1A2" w14:textId="419905A3" w:rsidR="00767C3B" w:rsidRPr="00D63658" w:rsidRDefault="00767C3B" w:rsidP="004D0556">
      <w:pPr>
        <w:pStyle w:val="SingleTxtG"/>
        <w:rPr>
          <w:b/>
          <w:bCs/>
        </w:rPr>
      </w:pPr>
      <w:r w:rsidRPr="00D63658">
        <w:rPr>
          <w:b/>
          <w:bCs/>
        </w:rPr>
        <w:tab/>
        <w:t>(a)</w:t>
      </w:r>
      <w:r w:rsidRPr="00D63658">
        <w:rPr>
          <w:b/>
          <w:bCs/>
        </w:rPr>
        <w:tab/>
      </w:r>
      <w:r w:rsidR="00BE0549">
        <w:rPr>
          <w:b/>
          <w:bCs/>
        </w:rPr>
        <w:t xml:space="preserve">Fully implement the </w:t>
      </w:r>
      <w:r w:rsidR="007C2817" w:rsidRPr="00D63658">
        <w:rPr>
          <w:b/>
          <w:bCs/>
        </w:rPr>
        <w:t>new national strategy for gender equality</w:t>
      </w:r>
      <w:r w:rsidR="00BE0549">
        <w:rPr>
          <w:b/>
          <w:bCs/>
        </w:rPr>
        <w:t xml:space="preserve"> (2021-2026)</w:t>
      </w:r>
      <w:r w:rsidRPr="00D63658">
        <w:rPr>
          <w:b/>
          <w:bCs/>
        </w:rPr>
        <w:t>;</w:t>
      </w:r>
    </w:p>
    <w:p w14:paraId="0D6EA559" w14:textId="52591C7B" w:rsidR="00767C3B" w:rsidRPr="00D63658" w:rsidRDefault="00767C3B" w:rsidP="004D0556">
      <w:pPr>
        <w:pStyle w:val="SingleTxtG"/>
        <w:rPr>
          <w:b/>
          <w:bCs/>
        </w:rPr>
      </w:pPr>
      <w:r w:rsidRPr="00D63658">
        <w:rPr>
          <w:b/>
          <w:bCs/>
        </w:rPr>
        <w:tab/>
        <w:t>(b)</w:t>
      </w:r>
      <w:r w:rsidRPr="00D63658">
        <w:rPr>
          <w:b/>
          <w:bCs/>
        </w:rPr>
        <w:tab/>
      </w:r>
      <w:r w:rsidR="00E94503">
        <w:rPr>
          <w:b/>
          <w:bCs/>
        </w:rPr>
        <w:t>Identify</w:t>
      </w:r>
      <w:r w:rsidR="007C2817" w:rsidRPr="00D63658">
        <w:rPr>
          <w:b/>
          <w:bCs/>
        </w:rPr>
        <w:t xml:space="preserve"> root causes that hinder women from participating in labour force and </w:t>
      </w:r>
      <w:r w:rsidR="00812821">
        <w:rPr>
          <w:b/>
          <w:bCs/>
        </w:rPr>
        <w:t xml:space="preserve">obtaining </w:t>
      </w:r>
      <w:r w:rsidR="007C2817" w:rsidRPr="00D63658">
        <w:rPr>
          <w:b/>
          <w:bCs/>
        </w:rPr>
        <w:t>decent job opportunities</w:t>
      </w:r>
      <w:r w:rsidR="005B7311">
        <w:rPr>
          <w:b/>
          <w:bCs/>
        </w:rPr>
        <w:t>,</w:t>
      </w:r>
      <w:r w:rsidRPr="00D63658">
        <w:rPr>
          <w:b/>
          <w:bCs/>
        </w:rPr>
        <w:t xml:space="preserve"> tailor</w:t>
      </w:r>
      <w:r w:rsidR="00E94503">
        <w:rPr>
          <w:b/>
          <w:bCs/>
        </w:rPr>
        <w:t xml:space="preserve"> the</w:t>
      </w:r>
      <w:r w:rsidRPr="00D63658">
        <w:rPr>
          <w:b/>
          <w:bCs/>
        </w:rPr>
        <w:t xml:space="preserve"> employment services and vocational education and training to address them</w:t>
      </w:r>
      <w:r w:rsidR="00F90505">
        <w:rPr>
          <w:b/>
          <w:bCs/>
        </w:rPr>
        <w:t xml:space="preserve">, </w:t>
      </w:r>
      <w:r w:rsidR="005B7311">
        <w:rPr>
          <w:b/>
          <w:bCs/>
        </w:rPr>
        <w:t xml:space="preserve">and provide social services for </w:t>
      </w:r>
      <w:r w:rsidR="00F90505">
        <w:rPr>
          <w:b/>
          <w:bCs/>
        </w:rPr>
        <w:t xml:space="preserve">a better </w:t>
      </w:r>
      <w:r w:rsidR="00633AFB" w:rsidRPr="00633AFB">
        <w:rPr>
          <w:b/>
          <w:bCs/>
        </w:rPr>
        <w:t xml:space="preserve">harmonization </w:t>
      </w:r>
      <w:r w:rsidR="00633AFB">
        <w:rPr>
          <w:b/>
          <w:bCs/>
        </w:rPr>
        <w:t xml:space="preserve">of </w:t>
      </w:r>
      <w:r w:rsidR="00633AFB" w:rsidRPr="00633AFB">
        <w:rPr>
          <w:b/>
          <w:bCs/>
        </w:rPr>
        <w:t>work and family life</w:t>
      </w:r>
      <w:r w:rsidRPr="00D63658">
        <w:rPr>
          <w:b/>
          <w:bCs/>
        </w:rPr>
        <w:t>;</w:t>
      </w:r>
    </w:p>
    <w:p w14:paraId="2A7E58B4" w14:textId="020928C5" w:rsidR="004D0556" w:rsidRPr="00D63658" w:rsidRDefault="00767C3B" w:rsidP="004D0556">
      <w:pPr>
        <w:pStyle w:val="SingleTxtG"/>
        <w:rPr>
          <w:b/>
          <w:bCs/>
        </w:rPr>
      </w:pPr>
      <w:r w:rsidRPr="00D63658">
        <w:rPr>
          <w:b/>
          <w:bCs/>
        </w:rPr>
        <w:lastRenderedPageBreak/>
        <w:tab/>
        <w:t>(c)</w:t>
      </w:r>
      <w:r w:rsidRPr="00D63658">
        <w:rPr>
          <w:b/>
          <w:bCs/>
        </w:rPr>
        <w:tab/>
        <w:t>Expand</w:t>
      </w:r>
      <w:r w:rsidR="007C2817" w:rsidRPr="00D63658">
        <w:rPr>
          <w:b/>
          <w:bCs/>
        </w:rPr>
        <w:t xml:space="preserve"> </w:t>
      </w:r>
      <w:r w:rsidRPr="00D63658">
        <w:rPr>
          <w:b/>
          <w:bCs/>
        </w:rPr>
        <w:t>social care services with a view to improving equal distribution of care responsibilities between men and women and facilitating women’s participation in the labour and the public domains;</w:t>
      </w:r>
    </w:p>
    <w:p w14:paraId="346DB940" w14:textId="4B9EA636" w:rsidR="00767C3B" w:rsidRPr="00D63658" w:rsidRDefault="00767C3B" w:rsidP="004D0556">
      <w:pPr>
        <w:pStyle w:val="SingleTxtG"/>
        <w:rPr>
          <w:b/>
          <w:bCs/>
        </w:rPr>
      </w:pPr>
      <w:r w:rsidRPr="00D63658">
        <w:rPr>
          <w:b/>
          <w:bCs/>
        </w:rPr>
        <w:tab/>
        <w:t>(d)</w:t>
      </w:r>
      <w:r w:rsidRPr="00D63658">
        <w:rPr>
          <w:b/>
          <w:bCs/>
        </w:rPr>
        <w:tab/>
        <w:t xml:space="preserve">Step up its efforts to prevent and punish sexual and gender-based violence in all settings, including </w:t>
      </w:r>
      <w:r w:rsidR="00E94503">
        <w:rPr>
          <w:b/>
          <w:bCs/>
        </w:rPr>
        <w:t>home</w:t>
      </w:r>
      <w:r w:rsidRPr="00D63658">
        <w:rPr>
          <w:b/>
          <w:bCs/>
        </w:rPr>
        <w:t>, workplace and school</w:t>
      </w:r>
      <w:r w:rsidR="00BE0549">
        <w:rPr>
          <w:b/>
          <w:bCs/>
        </w:rPr>
        <w:t>, including through</w:t>
      </w:r>
      <w:r w:rsidR="00BE0134">
        <w:rPr>
          <w:b/>
          <w:bCs/>
        </w:rPr>
        <w:t xml:space="preserve"> the implementation of </w:t>
      </w:r>
      <w:r w:rsidR="00BE0549" w:rsidRPr="00BE0549">
        <w:rPr>
          <w:b/>
          <w:bCs/>
        </w:rPr>
        <w:t>the Council of Europe Convention on preventing and combating violence against women and domestic violence</w:t>
      </w:r>
      <w:r w:rsidR="00BE0549">
        <w:rPr>
          <w:b/>
          <w:bCs/>
        </w:rPr>
        <w:t xml:space="preserve"> (Istanbul Convention)</w:t>
      </w:r>
      <w:r w:rsidR="007533F7">
        <w:rPr>
          <w:b/>
          <w:bCs/>
        </w:rPr>
        <w:t>.</w:t>
      </w:r>
    </w:p>
    <w:p w14:paraId="4C1DC370" w14:textId="77777777" w:rsidR="004D0556" w:rsidRPr="0031210A" w:rsidRDefault="004D0556" w:rsidP="004D0556">
      <w:pPr>
        <w:pStyle w:val="H23G"/>
      </w:pPr>
      <w:r>
        <w:tab/>
      </w:r>
      <w:r>
        <w:tab/>
      </w:r>
      <w:r w:rsidRPr="0031210A">
        <w:t>Right to work</w:t>
      </w:r>
    </w:p>
    <w:p w14:paraId="2CDF758F" w14:textId="2FD1EBF6" w:rsidR="008117F2" w:rsidRPr="001E09B0" w:rsidRDefault="004D0556" w:rsidP="00442AD1">
      <w:pPr>
        <w:pStyle w:val="SingleTxtG"/>
        <w:numPr>
          <w:ilvl w:val="0"/>
          <w:numId w:val="32"/>
        </w:numPr>
        <w:tabs>
          <w:tab w:val="clear" w:pos="1701"/>
          <w:tab w:val="clear" w:pos="2268"/>
          <w:tab w:val="clear" w:pos="2835"/>
        </w:tabs>
        <w:ind w:left="1134" w:firstLine="0"/>
        <w:rPr>
          <w:bCs/>
        </w:rPr>
      </w:pPr>
      <w:r w:rsidRPr="001E09B0">
        <w:rPr>
          <w:bCs/>
        </w:rPr>
        <w:t xml:space="preserve">The Committee </w:t>
      </w:r>
      <w:r w:rsidR="005B17DC">
        <w:rPr>
          <w:bCs/>
        </w:rPr>
        <w:t xml:space="preserve">is concerned about the high level of unemployment, particularly long-term unemployment, </w:t>
      </w:r>
      <w:r w:rsidR="00DD26EF">
        <w:rPr>
          <w:bCs/>
        </w:rPr>
        <w:t xml:space="preserve">and </w:t>
      </w:r>
      <w:r w:rsidR="005B17DC">
        <w:rPr>
          <w:bCs/>
        </w:rPr>
        <w:t>the excessive number of young people not in education, employment or training</w:t>
      </w:r>
      <w:r w:rsidR="00DD26EF">
        <w:rPr>
          <w:bCs/>
        </w:rPr>
        <w:t xml:space="preserve">. </w:t>
      </w:r>
      <w:r w:rsidR="005B17DC">
        <w:rPr>
          <w:bCs/>
        </w:rPr>
        <w:t xml:space="preserve">It is also concerned about the </w:t>
      </w:r>
      <w:r w:rsidR="00064082">
        <w:rPr>
          <w:bCs/>
        </w:rPr>
        <w:t xml:space="preserve">low </w:t>
      </w:r>
      <w:r w:rsidR="005B17DC">
        <w:rPr>
          <w:bCs/>
        </w:rPr>
        <w:t>eff</w:t>
      </w:r>
      <w:r w:rsidR="00DD26EF">
        <w:rPr>
          <w:bCs/>
        </w:rPr>
        <w:t>icacy</w:t>
      </w:r>
      <w:r w:rsidR="005B17DC">
        <w:rPr>
          <w:bCs/>
        </w:rPr>
        <w:t xml:space="preserve"> of the measures taken including the active employment</w:t>
      </w:r>
      <w:r w:rsidR="00DD26EF">
        <w:rPr>
          <w:bCs/>
        </w:rPr>
        <w:t xml:space="preserve"> policy measures</w:t>
      </w:r>
      <w:r w:rsidR="005B17DC">
        <w:rPr>
          <w:bCs/>
        </w:rPr>
        <w:t xml:space="preserve">, to </w:t>
      </w:r>
      <w:r w:rsidR="00064082">
        <w:rPr>
          <w:bCs/>
        </w:rPr>
        <w:t xml:space="preserve">improve the employment of </w:t>
      </w:r>
      <w:r w:rsidR="00DD26EF">
        <w:rPr>
          <w:bCs/>
        </w:rPr>
        <w:t>persons belonging to the category of hard-to-employ</w:t>
      </w:r>
      <w:r w:rsidR="008540B7">
        <w:rPr>
          <w:bCs/>
        </w:rPr>
        <w:t xml:space="preserve">. </w:t>
      </w:r>
      <w:r w:rsidR="00E94503">
        <w:rPr>
          <w:bCs/>
        </w:rPr>
        <w:t>I</w:t>
      </w:r>
      <w:r w:rsidR="008540B7">
        <w:rPr>
          <w:bCs/>
        </w:rPr>
        <w:t>t is</w:t>
      </w:r>
      <w:r w:rsidR="00E94503">
        <w:rPr>
          <w:bCs/>
        </w:rPr>
        <w:t xml:space="preserve"> also</w:t>
      </w:r>
      <w:r w:rsidR="008540B7">
        <w:rPr>
          <w:bCs/>
        </w:rPr>
        <w:t xml:space="preserve"> concerned that </w:t>
      </w:r>
      <w:r w:rsidR="00C731E8">
        <w:rPr>
          <w:bCs/>
        </w:rPr>
        <w:t xml:space="preserve">students on the dual education system and </w:t>
      </w:r>
      <w:r w:rsidR="008540B7">
        <w:rPr>
          <w:bCs/>
        </w:rPr>
        <w:t>young people on internship programmes</w:t>
      </w:r>
      <w:r w:rsidR="00C731E8">
        <w:rPr>
          <w:bCs/>
        </w:rPr>
        <w:t xml:space="preserve"> are paid less than </w:t>
      </w:r>
      <w:r w:rsidR="00812821">
        <w:rPr>
          <w:bCs/>
        </w:rPr>
        <w:t xml:space="preserve">the </w:t>
      </w:r>
      <w:r w:rsidR="00C731E8">
        <w:rPr>
          <w:bCs/>
        </w:rPr>
        <w:t>minimum wage and often working under substandard conditions</w:t>
      </w:r>
      <w:r w:rsidR="00107521">
        <w:rPr>
          <w:bCs/>
        </w:rPr>
        <w:t xml:space="preserve"> (Arts. 6 and 7)</w:t>
      </w:r>
      <w:r w:rsidR="008540B7">
        <w:rPr>
          <w:bCs/>
        </w:rPr>
        <w:t xml:space="preserve">. </w:t>
      </w:r>
    </w:p>
    <w:p w14:paraId="1F174802" w14:textId="57C9B433" w:rsidR="00E94503" w:rsidRDefault="00064082" w:rsidP="00442AD1">
      <w:pPr>
        <w:pStyle w:val="SingleTxtG"/>
        <w:numPr>
          <w:ilvl w:val="0"/>
          <w:numId w:val="32"/>
        </w:numPr>
        <w:tabs>
          <w:tab w:val="clear" w:pos="1701"/>
          <w:tab w:val="clear" w:pos="2268"/>
          <w:tab w:val="clear" w:pos="2835"/>
        </w:tabs>
        <w:ind w:left="1134" w:firstLine="0"/>
        <w:rPr>
          <w:b/>
          <w:bCs/>
        </w:rPr>
      </w:pPr>
      <w:r w:rsidRPr="00107521">
        <w:rPr>
          <w:b/>
          <w:bCs/>
        </w:rPr>
        <w:t>The Committee urges the State party to</w:t>
      </w:r>
      <w:r w:rsidR="00E94503">
        <w:rPr>
          <w:b/>
          <w:bCs/>
        </w:rPr>
        <w:t>:</w:t>
      </w:r>
      <w:r w:rsidRPr="00107521">
        <w:rPr>
          <w:b/>
          <w:bCs/>
        </w:rPr>
        <w:t xml:space="preserve"> </w:t>
      </w:r>
    </w:p>
    <w:p w14:paraId="4013F074" w14:textId="77777777" w:rsidR="00E94503" w:rsidRDefault="00E94503" w:rsidP="00107521">
      <w:pPr>
        <w:pStyle w:val="SingleTxtG"/>
        <w:rPr>
          <w:b/>
          <w:bCs/>
        </w:rPr>
      </w:pPr>
      <w:r>
        <w:rPr>
          <w:b/>
          <w:bCs/>
        </w:rPr>
        <w:tab/>
        <w:t>(a)</w:t>
      </w:r>
      <w:r>
        <w:rPr>
          <w:b/>
          <w:bCs/>
        </w:rPr>
        <w:tab/>
        <w:t>I</w:t>
      </w:r>
      <w:r w:rsidR="00064082" w:rsidRPr="00107521">
        <w:rPr>
          <w:b/>
          <w:bCs/>
        </w:rPr>
        <w:t>ntensify its efforts to reduce the unemployment, particularly among young people</w:t>
      </w:r>
      <w:r>
        <w:rPr>
          <w:b/>
          <w:bCs/>
        </w:rPr>
        <w:t>;</w:t>
      </w:r>
    </w:p>
    <w:p w14:paraId="2183E788" w14:textId="77777777" w:rsidR="00E94503" w:rsidRDefault="00E94503" w:rsidP="00107521">
      <w:pPr>
        <w:pStyle w:val="SingleTxtG"/>
        <w:rPr>
          <w:b/>
          <w:bCs/>
        </w:rPr>
      </w:pPr>
      <w:r>
        <w:rPr>
          <w:b/>
          <w:bCs/>
        </w:rPr>
        <w:tab/>
        <w:t>(b)</w:t>
      </w:r>
      <w:r>
        <w:rPr>
          <w:b/>
          <w:bCs/>
        </w:rPr>
        <w:tab/>
        <w:t>I</w:t>
      </w:r>
      <w:r w:rsidR="00064082" w:rsidRPr="00107521">
        <w:rPr>
          <w:b/>
          <w:bCs/>
        </w:rPr>
        <w:t>mprove the active employment policy measures</w:t>
      </w:r>
      <w:r w:rsidR="00107521" w:rsidRPr="00107521">
        <w:rPr>
          <w:b/>
          <w:bCs/>
        </w:rPr>
        <w:t xml:space="preserve"> by identifying the root causes of persons belonging to the category of hard-to-employ</w:t>
      </w:r>
      <w:r w:rsidR="00064082" w:rsidRPr="00107521">
        <w:rPr>
          <w:b/>
          <w:bCs/>
        </w:rPr>
        <w:t xml:space="preserve"> </w:t>
      </w:r>
      <w:r w:rsidR="00107521" w:rsidRPr="00107521">
        <w:rPr>
          <w:b/>
          <w:bCs/>
        </w:rPr>
        <w:t>and designing concrete programmes to address them with a view to provide them with decent and sustainable job opportunities</w:t>
      </w:r>
      <w:r>
        <w:rPr>
          <w:b/>
          <w:bCs/>
        </w:rPr>
        <w:t>;</w:t>
      </w:r>
    </w:p>
    <w:p w14:paraId="0828B6AB" w14:textId="7B3BAC55" w:rsidR="004D0556" w:rsidRDefault="00E94503" w:rsidP="00107521">
      <w:pPr>
        <w:pStyle w:val="SingleTxtG"/>
        <w:rPr>
          <w:b/>
          <w:bCs/>
        </w:rPr>
      </w:pPr>
      <w:r>
        <w:rPr>
          <w:b/>
          <w:bCs/>
        </w:rPr>
        <w:tab/>
        <w:t>(c)</w:t>
      </w:r>
      <w:r>
        <w:rPr>
          <w:b/>
          <w:bCs/>
        </w:rPr>
        <w:tab/>
        <w:t>T</w:t>
      </w:r>
      <w:r w:rsidR="00107521" w:rsidRPr="00107521">
        <w:rPr>
          <w:b/>
          <w:bCs/>
        </w:rPr>
        <w:t xml:space="preserve">ake effective measures to protect </w:t>
      </w:r>
      <w:r w:rsidR="00C731E8">
        <w:rPr>
          <w:b/>
          <w:bCs/>
        </w:rPr>
        <w:t xml:space="preserve">students on the dual education system and </w:t>
      </w:r>
      <w:r w:rsidR="00107521" w:rsidRPr="00107521">
        <w:rPr>
          <w:b/>
          <w:bCs/>
        </w:rPr>
        <w:t>young people on internship programme</w:t>
      </w:r>
      <w:r w:rsidR="00C731E8">
        <w:rPr>
          <w:b/>
          <w:bCs/>
        </w:rPr>
        <w:t>s</w:t>
      </w:r>
      <w:r w:rsidR="00107521" w:rsidRPr="00107521">
        <w:rPr>
          <w:b/>
          <w:bCs/>
        </w:rPr>
        <w:t xml:space="preserve"> </w:t>
      </w:r>
      <w:r w:rsidR="00CD769F" w:rsidRPr="00CD769F">
        <w:rPr>
          <w:b/>
          <w:bCs/>
        </w:rPr>
        <w:t xml:space="preserve">such as “My First Salary” programme </w:t>
      </w:r>
      <w:r w:rsidR="00107521" w:rsidRPr="00107521">
        <w:rPr>
          <w:b/>
          <w:bCs/>
        </w:rPr>
        <w:t xml:space="preserve">from labour exploitation and </w:t>
      </w:r>
      <w:r>
        <w:rPr>
          <w:b/>
          <w:bCs/>
        </w:rPr>
        <w:t xml:space="preserve">to </w:t>
      </w:r>
      <w:r w:rsidR="00107521" w:rsidRPr="00107521">
        <w:rPr>
          <w:b/>
          <w:bCs/>
        </w:rPr>
        <w:t xml:space="preserve">ensure that they are protected by labour regulations. </w:t>
      </w:r>
    </w:p>
    <w:p w14:paraId="5B70CBA8" w14:textId="6E1ED059" w:rsidR="00E0182E" w:rsidRPr="0031210A" w:rsidRDefault="00E0182E" w:rsidP="00E0182E">
      <w:pPr>
        <w:pStyle w:val="H23G"/>
      </w:pPr>
      <w:r>
        <w:tab/>
      </w:r>
      <w:r>
        <w:tab/>
        <w:t xml:space="preserve">Trafficking </w:t>
      </w:r>
      <w:r w:rsidR="00CC4B3C">
        <w:t>in persons</w:t>
      </w:r>
    </w:p>
    <w:p w14:paraId="4072B902" w14:textId="23E6047F" w:rsidR="007C6B94" w:rsidRDefault="00054ABA" w:rsidP="00442AD1">
      <w:pPr>
        <w:pStyle w:val="SingleTxtG"/>
        <w:numPr>
          <w:ilvl w:val="0"/>
          <w:numId w:val="32"/>
        </w:numPr>
        <w:tabs>
          <w:tab w:val="clear" w:pos="1701"/>
          <w:tab w:val="clear" w:pos="2268"/>
          <w:tab w:val="clear" w:pos="2835"/>
        </w:tabs>
        <w:ind w:left="1134" w:firstLine="0"/>
      </w:pPr>
      <w:r>
        <w:t xml:space="preserve">While </w:t>
      </w:r>
      <w:r w:rsidR="00C40CA8">
        <w:t>welcoming</w:t>
      </w:r>
      <w:r>
        <w:t xml:space="preserve"> the establishment of the Centre for Protection of Human Trafficking Victims, the Committee remains concerned about</w:t>
      </w:r>
      <w:r w:rsidR="007C6B94">
        <w:t xml:space="preserve"> </w:t>
      </w:r>
      <w:r w:rsidR="009469C2">
        <w:t>allegations</w:t>
      </w:r>
      <w:r w:rsidR="00CD769F">
        <w:t xml:space="preserve"> of trafficking and economic exploitation</w:t>
      </w:r>
      <w:r w:rsidR="00C40CA8">
        <w:t xml:space="preserve">; </w:t>
      </w:r>
      <w:r w:rsidR="007C6B94">
        <w:t xml:space="preserve">the lack of </w:t>
      </w:r>
      <w:r w:rsidR="007C6B94" w:rsidRPr="007C6B94">
        <w:t>support and protection</w:t>
      </w:r>
      <w:r w:rsidR="007C6B94">
        <w:t xml:space="preserve"> provided to victims of trafficking</w:t>
      </w:r>
      <w:r w:rsidR="00C40CA8">
        <w:t xml:space="preserve">; and </w:t>
      </w:r>
      <w:r>
        <w:t>the insufficient level of funding allocated to the prevention of trafficking in persons</w:t>
      </w:r>
      <w:r w:rsidR="008870BD">
        <w:t>.</w:t>
      </w:r>
      <w:r w:rsidR="001D4038">
        <w:t xml:space="preserve"> (Art</w:t>
      </w:r>
      <w:r>
        <w:t>.</w:t>
      </w:r>
      <w:r w:rsidR="001D4038">
        <w:t xml:space="preserve"> 6)</w:t>
      </w:r>
    </w:p>
    <w:p w14:paraId="1C207D9F" w14:textId="4672D30D" w:rsidR="00C40CA8" w:rsidRPr="00CC4B3C" w:rsidRDefault="00C40CA8" w:rsidP="00442AD1">
      <w:pPr>
        <w:pStyle w:val="SingleTxtG"/>
        <w:numPr>
          <w:ilvl w:val="0"/>
          <w:numId w:val="32"/>
        </w:numPr>
        <w:tabs>
          <w:tab w:val="clear" w:pos="1701"/>
          <w:tab w:val="clear" w:pos="2268"/>
          <w:tab w:val="clear" w:pos="2835"/>
        </w:tabs>
        <w:ind w:left="1134" w:firstLine="0"/>
        <w:rPr>
          <w:b/>
        </w:rPr>
      </w:pPr>
      <w:r w:rsidRPr="00CC4B3C">
        <w:rPr>
          <w:b/>
        </w:rPr>
        <w:t>The Committee recommends that the State party intensify its efforts to prevent and combat trafficking in persons, in particular, by:</w:t>
      </w:r>
    </w:p>
    <w:p w14:paraId="7A8D0AB9" w14:textId="0C716D33" w:rsidR="00C40CA8" w:rsidRPr="00CC4B3C" w:rsidRDefault="00C40CA8" w:rsidP="00E0182E">
      <w:pPr>
        <w:pStyle w:val="SingleTxtG"/>
        <w:rPr>
          <w:b/>
        </w:rPr>
      </w:pPr>
      <w:r w:rsidRPr="00CC4B3C">
        <w:rPr>
          <w:b/>
        </w:rPr>
        <w:tab/>
        <w:t>(a)</w:t>
      </w:r>
      <w:r w:rsidRPr="00CC4B3C">
        <w:rPr>
          <w:b/>
        </w:rPr>
        <w:tab/>
        <w:t>Ensuring adequate training of law enforcement officers and the judiciary with a view to improving early identification of victims;</w:t>
      </w:r>
    </w:p>
    <w:p w14:paraId="399A0FD4" w14:textId="77777777" w:rsidR="00CC4B3C" w:rsidRPr="00CC4B3C" w:rsidRDefault="00C40CA8" w:rsidP="00E0182E">
      <w:pPr>
        <w:pStyle w:val="SingleTxtG"/>
        <w:rPr>
          <w:b/>
        </w:rPr>
      </w:pPr>
      <w:r w:rsidRPr="00CC4B3C">
        <w:rPr>
          <w:b/>
        </w:rPr>
        <w:tab/>
        <w:t>(b)</w:t>
      </w:r>
      <w:r w:rsidRPr="00CC4B3C">
        <w:rPr>
          <w:b/>
        </w:rPr>
        <w:tab/>
      </w:r>
      <w:r w:rsidR="00CC4B3C" w:rsidRPr="00CC4B3C">
        <w:rPr>
          <w:b/>
        </w:rPr>
        <w:t>Improving the protection and physical, psychological and legal support for victims, in coordination with civil society organizations;</w:t>
      </w:r>
    </w:p>
    <w:p w14:paraId="0610C970" w14:textId="1906C814" w:rsidR="007C6B94" w:rsidRPr="00CC4B3C" w:rsidRDefault="00CC4B3C" w:rsidP="00E0182E">
      <w:pPr>
        <w:pStyle w:val="SingleTxtG"/>
        <w:rPr>
          <w:b/>
        </w:rPr>
      </w:pPr>
      <w:r w:rsidRPr="00CC4B3C">
        <w:rPr>
          <w:b/>
        </w:rPr>
        <w:tab/>
        <w:t>(c)</w:t>
      </w:r>
      <w:r w:rsidRPr="00CC4B3C">
        <w:rPr>
          <w:b/>
        </w:rPr>
        <w:tab/>
        <w:t>Allocating sufficient funding to the prevention of trafficking in persons and the support for victims.</w:t>
      </w:r>
    </w:p>
    <w:p w14:paraId="1CF4787E" w14:textId="4B607B81" w:rsidR="004D0556" w:rsidRDefault="004D0556" w:rsidP="004D0556">
      <w:pPr>
        <w:pStyle w:val="H23G"/>
      </w:pPr>
      <w:r>
        <w:tab/>
      </w:r>
      <w:r>
        <w:tab/>
        <w:t>Right to just and favourable conditions of work</w:t>
      </w:r>
    </w:p>
    <w:p w14:paraId="69BF405B" w14:textId="29F39F98" w:rsidR="004D0556" w:rsidRDefault="004D0556" w:rsidP="00442AD1">
      <w:pPr>
        <w:pStyle w:val="SingleTxtG"/>
        <w:numPr>
          <w:ilvl w:val="0"/>
          <w:numId w:val="32"/>
        </w:numPr>
        <w:tabs>
          <w:tab w:val="clear" w:pos="1701"/>
          <w:tab w:val="clear" w:pos="2268"/>
          <w:tab w:val="clear" w:pos="2835"/>
        </w:tabs>
        <w:ind w:left="1134" w:firstLine="0"/>
        <w:rPr>
          <w:bCs/>
        </w:rPr>
      </w:pPr>
      <w:r w:rsidRPr="001E09B0">
        <w:rPr>
          <w:bCs/>
        </w:rPr>
        <w:t xml:space="preserve">The Committee </w:t>
      </w:r>
      <w:r w:rsidR="00293341">
        <w:rPr>
          <w:bCs/>
        </w:rPr>
        <w:t xml:space="preserve">is concerned about the narrow definition of </w:t>
      </w:r>
      <w:r w:rsidR="00293341" w:rsidRPr="00293341">
        <w:rPr>
          <w:bCs/>
        </w:rPr>
        <w:t>“employed persons” in the Labour Law</w:t>
      </w:r>
      <w:r w:rsidR="00293341">
        <w:rPr>
          <w:bCs/>
        </w:rPr>
        <w:t>, which has rendered the large number of workers in the informal economy and in non-traditional forms of employment excluded from labour and social protection</w:t>
      </w:r>
      <w:r w:rsidR="00107521">
        <w:rPr>
          <w:bCs/>
        </w:rPr>
        <w:t xml:space="preserve"> (Art.7)</w:t>
      </w:r>
      <w:r w:rsidR="00293341">
        <w:rPr>
          <w:bCs/>
        </w:rPr>
        <w:t xml:space="preserve">. </w:t>
      </w:r>
    </w:p>
    <w:p w14:paraId="1706A659" w14:textId="534CC6B1" w:rsidR="00405401" w:rsidRPr="00405401" w:rsidRDefault="00293341" w:rsidP="008870BD">
      <w:pPr>
        <w:pStyle w:val="SingleTxtG"/>
        <w:numPr>
          <w:ilvl w:val="0"/>
          <w:numId w:val="32"/>
        </w:numPr>
        <w:tabs>
          <w:tab w:val="clear" w:pos="1701"/>
          <w:tab w:val="clear" w:pos="2268"/>
          <w:tab w:val="clear" w:pos="2835"/>
        </w:tabs>
        <w:ind w:left="1134" w:firstLine="0"/>
        <w:rPr>
          <w:b/>
          <w:bCs/>
        </w:rPr>
      </w:pPr>
      <w:r w:rsidRPr="00405401">
        <w:rPr>
          <w:b/>
          <w:bCs/>
        </w:rPr>
        <w:t>The Committee recommends</w:t>
      </w:r>
      <w:r w:rsidR="00405401" w:rsidRPr="00405401">
        <w:rPr>
          <w:b/>
          <w:bCs/>
        </w:rPr>
        <w:t xml:space="preserve"> that the State party bring the definition of ‘employed persons’ in the Labour Law in line with Article 7 of the Covenant and international labour standards and ensure that all workers, regardless of their sectors, industries or forms of employment, are equally protected under the Labour Law and </w:t>
      </w:r>
      <w:r w:rsidR="005E12FA">
        <w:rPr>
          <w:b/>
          <w:bCs/>
        </w:rPr>
        <w:t xml:space="preserve">related </w:t>
      </w:r>
      <w:r w:rsidR="00405401" w:rsidRPr="00405401">
        <w:rPr>
          <w:b/>
          <w:bCs/>
        </w:rPr>
        <w:t>labour regulations.</w:t>
      </w:r>
      <w:r w:rsidR="00CF776B">
        <w:rPr>
          <w:b/>
          <w:bCs/>
        </w:rPr>
        <w:t xml:space="preserve"> It also recommends that the State party take effective measures to transition workers in the informal economy to the formal economy.</w:t>
      </w:r>
    </w:p>
    <w:p w14:paraId="5C3ACE3E" w14:textId="77777777" w:rsidR="00293341" w:rsidRDefault="00293341" w:rsidP="00293341">
      <w:pPr>
        <w:pStyle w:val="H23G"/>
      </w:pPr>
      <w:r>
        <w:lastRenderedPageBreak/>
        <w:tab/>
      </w:r>
      <w:r>
        <w:tab/>
      </w:r>
      <w:r w:rsidR="00285653">
        <w:t>Minimum wage</w:t>
      </w:r>
    </w:p>
    <w:p w14:paraId="5707018E" w14:textId="085A3BD1" w:rsidR="00293341" w:rsidRPr="001E09B0" w:rsidRDefault="00293341" w:rsidP="00442AD1">
      <w:pPr>
        <w:pStyle w:val="SingleTxtG"/>
        <w:numPr>
          <w:ilvl w:val="0"/>
          <w:numId w:val="32"/>
        </w:numPr>
        <w:tabs>
          <w:tab w:val="clear" w:pos="1701"/>
          <w:tab w:val="clear" w:pos="2268"/>
          <w:tab w:val="clear" w:pos="2835"/>
        </w:tabs>
        <w:ind w:left="1134" w:firstLine="0"/>
        <w:rPr>
          <w:bCs/>
        </w:rPr>
      </w:pPr>
      <w:r w:rsidRPr="001E09B0">
        <w:rPr>
          <w:bCs/>
        </w:rPr>
        <w:t xml:space="preserve">The Committee </w:t>
      </w:r>
      <w:r>
        <w:rPr>
          <w:bCs/>
        </w:rPr>
        <w:t xml:space="preserve">is concerned about the inadequate </w:t>
      </w:r>
      <w:r w:rsidR="00285653">
        <w:rPr>
          <w:bCs/>
        </w:rPr>
        <w:t>amount</w:t>
      </w:r>
      <w:r>
        <w:rPr>
          <w:bCs/>
        </w:rPr>
        <w:t xml:space="preserve"> of minimum wage, which is lower than the</w:t>
      </w:r>
      <w:r w:rsidR="00E76B2B">
        <w:rPr>
          <w:bCs/>
        </w:rPr>
        <w:t xml:space="preserve"> </w:t>
      </w:r>
      <w:r w:rsidR="00285653">
        <w:rPr>
          <w:bCs/>
        </w:rPr>
        <w:t>minimum consumer basket and regrets the absence of information on the enforcement of minimum wage</w:t>
      </w:r>
      <w:r w:rsidR="00107521">
        <w:rPr>
          <w:bCs/>
        </w:rPr>
        <w:t xml:space="preserve"> (Art.7)</w:t>
      </w:r>
      <w:r w:rsidR="00285653">
        <w:rPr>
          <w:bCs/>
        </w:rPr>
        <w:t xml:space="preserve">. </w:t>
      </w:r>
    </w:p>
    <w:p w14:paraId="53A49D2C" w14:textId="3E9B327C" w:rsidR="00C7050B" w:rsidRPr="00405401" w:rsidRDefault="00293341" w:rsidP="00442AD1">
      <w:pPr>
        <w:pStyle w:val="SingleTxtG"/>
        <w:numPr>
          <w:ilvl w:val="0"/>
          <w:numId w:val="32"/>
        </w:numPr>
        <w:tabs>
          <w:tab w:val="clear" w:pos="1701"/>
          <w:tab w:val="clear" w:pos="2268"/>
          <w:tab w:val="clear" w:pos="2835"/>
        </w:tabs>
        <w:ind w:left="1134" w:firstLine="0"/>
        <w:rPr>
          <w:b/>
          <w:bCs/>
        </w:rPr>
      </w:pPr>
      <w:r w:rsidRPr="00405401">
        <w:rPr>
          <w:b/>
          <w:bCs/>
        </w:rPr>
        <w:t>The Committee recommends</w:t>
      </w:r>
      <w:r w:rsidR="00C7050B" w:rsidRPr="00405401">
        <w:rPr>
          <w:b/>
          <w:bCs/>
        </w:rPr>
        <w:t xml:space="preserve"> that the State party: </w:t>
      </w:r>
    </w:p>
    <w:p w14:paraId="5183D5DD" w14:textId="1012D669" w:rsidR="00C7050B" w:rsidRPr="00405401" w:rsidRDefault="00C7050B" w:rsidP="00293341">
      <w:pPr>
        <w:pStyle w:val="SingleTxtG"/>
        <w:rPr>
          <w:b/>
          <w:bCs/>
        </w:rPr>
      </w:pPr>
      <w:r w:rsidRPr="00405401">
        <w:rPr>
          <w:b/>
          <w:bCs/>
        </w:rPr>
        <w:tab/>
        <w:t>(a)</w:t>
      </w:r>
      <w:r w:rsidRPr="00405401">
        <w:rPr>
          <w:b/>
          <w:bCs/>
        </w:rPr>
        <w:tab/>
        <w:t>Raise the minimum wage and regularly adjust it to the cost of living so as to ensure a</w:t>
      </w:r>
      <w:r w:rsidR="005E12FA">
        <w:rPr>
          <w:b/>
          <w:bCs/>
        </w:rPr>
        <w:t xml:space="preserve"> decent</w:t>
      </w:r>
      <w:r w:rsidRPr="00405401">
        <w:rPr>
          <w:b/>
          <w:bCs/>
        </w:rPr>
        <w:t xml:space="preserve"> living for workers and their families;</w:t>
      </w:r>
    </w:p>
    <w:p w14:paraId="47FF26F0" w14:textId="10F0D695" w:rsidR="00405401" w:rsidRPr="00405401" w:rsidRDefault="00405401" w:rsidP="00293341">
      <w:pPr>
        <w:pStyle w:val="SingleTxtG"/>
        <w:rPr>
          <w:b/>
          <w:bCs/>
        </w:rPr>
      </w:pPr>
      <w:r w:rsidRPr="00405401">
        <w:rPr>
          <w:b/>
          <w:bCs/>
        </w:rPr>
        <w:tab/>
        <w:t>(b)</w:t>
      </w:r>
      <w:r w:rsidRPr="00405401">
        <w:rPr>
          <w:b/>
          <w:bCs/>
        </w:rPr>
        <w:tab/>
        <w:t>Ensure that the minimum wage applies to all workers in all sectors and in all forms of employment;</w:t>
      </w:r>
    </w:p>
    <w:p w14:paraId="322D4DDB" w14:textId="77777777" w:rsidR="00405401" w:rsidRPr="00405401" w:rsidRDefault="00405401" w:rsidP="00405401">
      <w:pPr>
        <w:pStyle w:val="SingleTxtG"/>
        <w:rPr>
          <w:b/>
          <w:bCs/>
        </w:rPr>
      </w:pPr>
      <w:r w:rsidRPr="00405401">
        <w:rPr>
          <w:b/>
          <w:bCs/>
        </w:rPr>
        <w:tab/>
        <w:t>(c)</w:t>
      </w:r>
      <w:r w:rsidRPr="00405401">
        <w:rPr>
          <w:b/>
          <w:bCs/>
        </w:rPr>
        <w:tab/>
        <w:t>Ensure full compliance with the minimum wage;</w:t>
      </w:r>
    </w:p>
    <w:p w14:paraId="76F1D632" w14:textId="71FAF56D" w:rsidR="00405401" w:rsidRPr="00405401" w:rsidRDefault="00405401" w:rsidP="00405401">
      <w:pPr>
        <w:pStyle w:val="SingleTxtG"/>
        <w:rPr>
          <w:b/>
          <w:bCs/>
        </w:rPr>
      </w:pPr>
      <w:r w:rsidRPr="00405401">
        <w:rPr>
          <w:b/>
          <w:bCs/>
        </w:rPr>
        <w:tab/>
        <w:t>(d)</w:t>
      </w:r>
      <w:r w:rsidRPr="00405401">
        <w:rPr>
          <w:b/>
          <w:bCs/>
        </w:rPr>
        <w:tab/>
        <w:t>Take into account the Committee’s general comment</w:t>
      </w:r>
      <w:r w:rsidR="00E76B2B">
        <w:rPr>
          <w:b/>
          <w:bCs/>
        </w:rPr>
        <w:t xml:space="preserve"> </w:t>
      </w:r>
      <w:r w:rsidRPr="00405401">
        <w:rPr>
          <w:b/>
          <w:bCs/>
        </w:rPr>
        <w:t xml:space="preserve">No. 23 </w:t>
      </w:r>
      <w:r w:rsidR="00E76B2B">
        <w:rPr>
          <w:b/>
          <w:bCs/>
        </w:rPr>
        <w:t xml:space="preserve">(2016) on the right to just and favourable conditions of work </w:t>
      </w:r>
      <w:r w:rsidRPr="00405401">
        <w:rPr>
          <w:b/>
          <w:bCs/>
        </w:rPr>
        <w:t>(para</w:t>
      </w:r>
      <w:r w:rsidR="00B36B03">
        <w:rPr>
          <w:b/>
          <w:bCs/>
        </w:rPr>
        <w:t>s</w:t>
      </w:r>
      <w:r w:rsidRPr="00405401">
        <w:rPr>
          <w:b/>
          <w:bCs/>
        </w:rPr>
        <w:t>. 18-24).</w:t>
      </w:r>
    </w:p>
    <w:p w14:paraId="47F07E66" w14:textId="77777777" w:rsidR="00285653" w:rsidRDefault="00285653" w:rsidP="00285653">
      <w:pPr>
        <w:pStyle w:val="H23G"/>
      </w:pPr>
      <w:r>
        <w:tab/>
      </w:r>
      <w:r>
        <w:tab/>
        <w:t>Labour Inspectorate</w:t>
      </w:r>
    </w:p>
    <w:p w14:paraId="702DDAE1" w14:textId="49A38BB9" w:rsidR="00D275A5" w:rsidRDefault="00285653" w:rsidP="00442AD1">
      <w:pPr>
        <w:pStyle w:val="SingleTxtG"/>
        <w:numPr>
          <w:ilvl w:val="0"/>
          <w:numId w:val="32"/>
        </w:numPr>
        <w:tabs>
          <w:tab w:val="clear" w:pos="1701"/>
          <w:tab w:val="clear" w:pos="2268"/>
          <w:tab w:val="clear" w:pos="2835"/>
        </w:tabs>
        <w:ind w:left="1134" w:firstLine="0"/>
        <w:rPr>
          <w:bCs/>
        </w:rPr>
      </w:pPr>
      <w:r w:rsidRPr="001E09B0">
        <w:rPr>
          <w:bCs/>
        </w:rPr>
        <w:t xml:space="preserve">The Committee </w:t>
      </w:r>
      <w:r>
        <w:rPr>
          <w:bCs/>
        </w:rPr>
        <w:t>is concerned about the narrow scope of labour inspections carried by the Labour Inspectorate</w:t>
      </w:r>
      <w:r w:rsidR="00D275A5">
        <w:rPr>
          <w:bCs/>
        </w:rPr>
        <w:t xml:space="preserve">, which has led to the situations such as the </w:t>
      </w:r>
      <w:r w:rsidR="00CD769F">
        <w:rPr>
          <w:bCs/>
        </w:rPr>
        <w:t xml:space="preserve">case of workers at the </w:t>
      </w:r>
      <w:proofErr w:type="spellStart"/>
      <w:r w:rsidR="00D275A5">
        <w:rPr>
          <w:bCs/>
        </w:rPr>
        <w:t>Linglong</w:t>
      </w:r>
      <w:proofErr w:type="spellEnd"/>
      <w:r w:rsidR="00D275A5">
        <w:rPr>
          <w:bCs/>
        </w:rPr>
        <w:t xml:space="preserve"> </w:t>
      </w:r>
      <w:r w:rsidR="00CD769F">
        <w:rPr>
          <w:bCs/>
        </w:rPr>
        <w:t>Tyre Plant</w:t>
      </w:r>
      <w:r w:rsidR="00D275A5">
        <w:rPr>
          <w:bCs/>
        </w:rPr>
        <w:t xml:space="preserve"> in which violation of labour regulations </w:t>
      </w:r>
      <w:r w:rsidR="007B0166">
        <w:rPr>
          <w:bCs/>
        </w:rPr>
        <w:t xml:space="preserve">was </w:t>
      </w:r>
      <w:r w:rsidR="00C1748C">
        <w:rPr>
          <w:bCs/>
        </w:rPr>
        <w:t xml:space="preserve">not </w:t>
      </w:r>
      <w:r w:rsidR="00D275A5">
        <w:rPr>
          <w:bCs/>
        </w:rPr>
        <w:t xml:space="preserve">detected despite a number of labour inspections carried out. It is also concerned about the limited </w:t>
      </w:r>
      <w:r w:rsidR="00695D5E">
        <w:rPr>
          <w:bCs/>
        </w:rPr>
        <w:t xml:space="preserve">powers and </w:t>
      </w:r>
      <w:r w:rsidR="00D275A5">
        <w:rPr>
          <w:bCs/>
        </w:rPr>
        <w:t xml:space="preserve">capacity of Labour Inspectorate to </w:t>
      </w:r>
      <w:r w:rsidR="00695D5E">
        <w:rPr>
          <w:bCs/>
        </w:rPr>
        <w:t xml:space="preserve">effectively </w:t>
      </w:r>
      <w:r w:rsidR="00D275A5">
        <w:rPr>
          <w:bCs/>
        </w:rPr>
        <w:t xml:space="preserve">carry out </w:t>
      </w:r>
      <w:r w:rsidR="00695D5E">
        <w:rPr>
          <w:bCs/>
        </w:rPr>
        <w:t>its mandate</w:t>
      </w:r>
      <w:r w:rsidR="00107521">
        <w:rPr>
          <w:bCs/>
        </w:rPr>
        <w:t xml:space="preserve"> (Art.7)</w:t>
      </w:r>
      <w:r w:rsidR="00695D5E">
        <w:rPr>
          <w:bCs/>
        </w:rPr>
        <w:t>.</w:t>
      </w:r>
    </w:p>
    <w:p w14:paraId="7D3D2031" w14:textId="66966DF8" w:rsidR="00285653" w:rsidRPr="001B66E2" w:rsidRDefault="00285653" w:rsidP="00442AD1">
      <w:pPr>
        <w:pStyle w:val="SingleTxtG"/>
        <w:numPr>
          <w:ilvl w:val="0"/>
          <w:numId w:val="32"/>
        </w:numPr>
        <w:tabs>
          <w:tab w:val="clear" w:pos="1701"/>
          <w:tab w:val="clear" w:pos="2268"/>
          <w:tab w:val="clear" w:pos="2835"/>
        </w:tabs>
        <w:ind w:left="1134" w:firstLine="0"/>
        <w:rPr>
          <w:b/>
          <w:bCs/>
        </w:rPr>
      </w:pPr>
      <w:r w:rsidRPr="001B66E2">
        <w:rPr>
          <w:b/>
          <w:bCs/>
        </w:rPr>
        <w:t>The Committee recommends</w:t>
      </w:r>
      <w:r w:rsidR="001B66E2" w:rsidRPr="001B66E2">
        <w:rPr>
          <w:b/>
          <w:bCs/>
        </w:rPr>
        <w:t xml:space="preserve"> that the State party expand the scope of labour inspections</w:t>
      </w:r>
      <w:r w:rsidR="00C1748C">
        <w:rPr>
          <w:b/>
          <w:bCs/>
        </w:rPr>
        <w:t xml:space="preserve">, </w:t>
      </w:r>
      <w:r w:rsidR="005E12FA">
        <w:rPr>
          <w:b/>
          <w:bCs/>
        </w:rPr>
        <w:t xml:space="preserve">strengthen </w:t>
      </w:r>
      <w:r w:rsidR="001B66E2" w:rsidRPr="001B66E2">
        <w:rPr>
          <w:b/>
          <w:bCs/>
        </w:rPr>
        <w:t xml:space="preserve">the </w:t>
      </w:r>
      <w:r w:rsidR="00A640B2">
        <w:rPr>
          <w:b/>
          <w:bCs/>
        </w:rPr>
        <w:t xml:space="preserve">capacity and </w:t>
      </w:r>
      <w:r w:rsidR="001B66E2" w:rsidRPr="001B66E2">
        <w:rPr>
          <w:b/>
          <w:bCs/>
        </w:rPr>
        <w:t>powers of the Labour Inspectorate</w:t>
      </w:r>
      <w:r w:rsidR="00A640B2">
        <w:rPr>
          <w:b/>
          <w:bCs/>
        </w:rPr>
        <w:t xml:space="preserve"> and improve quality of labour inspections</w:t>
      </w:r>
      <w:r w:rsidR="001B66E2" w:rsidRPr="001B66E2">
        <w:rPr>
          <w:b/>
          <w:bCs/>
        </w:rPr>
        <w:t>. It also recommends that the State party provid</w:t>
      </w:r>
      <w:r w:rsidR="00A640B2">
        <w:rPr>
          <w:b/>
          <w:bCs/>
        </w:rPr>
        <w:t>e</w:t>
      </w:r>
      <w:r w:rsidR="001B66E2" w:rsidRPr="001B66E2">
        <w:rPr>
          <w:b/>
          <w:bCs/>
        </w:rPr>
        <w:t xml:space="preserve"> sufficient financial and human resources </w:t>
      </w:r>
      <w:r w:rsidR="00A640B2">
        <w:rPr>
          <w:b/>
          <w:bCs/>
        </w:rPr>
        <w:t xml:space="preserve">to the Labour Inspectorate and </w:t>
      </w:r>
      <w:r w:rsidR="001B66E2" w:rsidRPr="001B66E2">
        <w:rPr>
          <w:b/>
          <w:bCs/>
        </w:rPr>
        <w:t>specialized training</w:t>
      </w:r>
      <w:r w:rsidR="00A640B2">
        <w:rPr>
          <w:b/>
          <w:bCs/>
        </w:rPr>
        <w:t xml:space="preserve"> for labour inspectors</w:t>
      </w:r>
      <w:r w:rsidR="001B66E2" w:rsidRPr="001B66E2">
        <w:rPr>
          <w:b/>
          <w:bCs/>
        </w:rPr>
        <w:t>.</w:t>
      </w:r>
    </w:p>
    <w:p w14:paraId="2D08FA07" w14:textId="77777777" w:rsidR="004D0556" w:rsidRDefault="004D0556" w:rsidP="004D0556">
      <w:pPr>
        <w:pStyle w:val="H23G"/>
      </w:pPr>
      <w:r>
        <w:tab/>
      </w:r>
      <w:r>
        <w:tab/>
        <w:t>Trade union r</w:t>
      </w:r>
      <w:r w:rsidRPr="004E24DD">
        <w:t>ight</w:t>
      </w:r>
      <w:r>
        <w:t>s</w:t>
      </w:r>
    </w:p>
    <w:p w14:paraId="4C6CACB1" w14:textId="6A395915" w:rsidR="00695D5E" w:rsidRDefault="00C20718" w:rsidP="00442AD1">
      <w:pPr>
        <w:pStyle w:val="SingleTxtG"/>
        <w:numPr>
          <w:ilvl w:val="0"/>
          <w:numId w:val="32"/>
        </w:numPr>
        <w:tabs>
          <w:tab w:val="clear" w:pos="1701"/>
          <w:tab w:val="clear" w:pos="2268"/>
          <w:tab w:val="clear" w:pos="2835"/>
        </w:tabs>
        <w:ind w:left="1134" w:firstLine="0"/>
        <w:rPr>
          <w:bCs/>
        </w:rPr>
      </w:pPr>
      <w:r>
        <w:t xml:space="preserve">While noting the </w:t>
      </w:r>
      <w:r w:rsidR="009A2D3B">
        <w:t xml:space="preserve">on-going drafting of </w:t>
      </w:r>
      <w:r>
        <w:t xml:space="preserve">a </w:t>
      </w:r>
      <w:r w:rsidR="00C1748C">
        <w:t>L</w:t>
      </w:r>
      <w:r>
        <w:t>aw amending the Law on Strike, t</w:t>
      </w:r>
      <w:r w:rsidR="004D0556" w:rsidRPr="001E09B0">
        <w:rPr>
          <w:bCs/>
        </w:rPr>
        <w:t>he Committee</w:t>
      </w:r>
      <w:r>
        <w:rPr>
          <w:bCs/>
        </w:rPr>
        <w:t xml:space="preserve"> is concerned about the provisions on the minimum service</w:t>
      </w:r>
      <w:r w:rsidR="00101D31">
        <w:rPr>
          <w:bCs/>
        </w:rPr>
        <w:t>s</w:t>
      </w:r>
      <w:r>
        <w:rPr>
          <w:bCs/>
        </w:rPr>
        <w:t xml:space="preserve"> under the Law on Strike, which restricts the rights of strike of a wide range of workers</w:t>
      </w:r>
      <w:r w:rsidR="00107521">
        <w:rPr>
          <w:bCs/>
        </w:rPr>
        <w:t xml:space="preserve"> (Art.8)</w:t>
      </w:r>
      <w:r w:rsidR="005F40DE">
        <w:rPr>
          <w:bCs/>
        </w:rPr>
        <w:t xml:space="preserve">. </w:t>
      </w:r>
    </w:p>
    <w:p w14:paraId="1CD058BE" w14:textId="7AECBA0F" w:rsidR="001B66E2" w:rsidRPr="00101D31" w:rsidRDefault="005F40DE" w:rsidP="00442AD1">
      <w:pPr>
        <w:pStyle w:val="SingleTxtG"/>
        <w:numPr>
          <w:ilvl w:val="0"/>
          <w:numId w:val="32"/>
        </w:numPr>
        <w:tabs>
          <w:tab w:val="clear" w:pos="1701"/>
          <w:tab w:val="clear" w:pos="2268"/>
          <w:tab w:val="clear" w:pos="2835"/>
        </w:tabs>
        <w:ind w:left="1134" w:firstLine="0"/>
        <w:rPr>
          <w:b/>
          <w:bCs/>
        </w:rPr>
      </w:pPr>
      <w:r w:rsidRPr="00101D31">
        <w:rPr>
          <w:b/>
          <w:bCs/>
        </w:rPr>
        <w:t>The Committee recommends</w:t>
      </w:r>
      <w:r w:rsidR="001B66E2" w:rsidRPr="00101D31">
        <w:rPr>
          <w:b/>
          <w:bCs/>
        </w:rPr>
        <w:t xml:space="preserve"> that the State party amend the Law on Strike in line with its obligations under Article 8 of the Covenant as well as the ILO Convention No. 87 on the freedom of association and protection of the right to organise and the ILO Convention No. 98 on the right to organise and collective bargaining. In particular, it recommends that the State party </w:t>
      </w:r>
      <w:r w:rsidR="00101D31" w:rsidRPr="00101D31">
        <w:rPr>
          <w:b/>
          <w:bCs/>
        </w:rPr>
        <w:t>limit the scope of the definition of minimum services so as to ensure the effective exercise of the right to strike</w:t>
      </w:r>
      <w:r w:rsidR="00C1748C">
        <w:rPr>
          <w:b/>
          <w:bCs/>
        </w:rPr>
        <w:t xml:space="preserve"> without undue restrictions</w:t>
      </w:r>
      <w:r w:rsidR="00101D31" w:rsidRPr="00101D31">
        <w:rPr>
          <w:b/>
          <w:bCs/>
        </w:rPr>
        <w:t xml:space="preserve">. </w:t>
      </w:r>
    </w:p>
    <w:p w14:paraId="638724E0" w14:textId="77777777" w:rsidR="004D0556" w:rsidRDefault="004D0556" w:rsidP="004D0556">
      <w:pPr>
        <w:pStyle w:val="H23G"/>
      </w:pPr>
      <w:r>
        <w:tab/>
      </w:r>
      <w:r>
        <w:tab/>
      </w:r>
      <w:r>
        <w:tab/>
      </w:r>
      <w:r w:rsidRPr="004E24DD">
        <w:t>Right to social security</w:t>
      </w:r>
    </w:p>
    <w:p w14:paraId="529E85E2" w14:textId="39067003" w:rsidR="005F40DE" w:rsidRDefault="00711245" w:rsidP="00442AD1">
      <w:pPr>
        <w:pStyle w:val="SingleTxtG"/>
        <w:numPr>
          <w:ilvl w:val="0"/>
          <w:numId w:val="32"/>
        </w:numPr>
        <w:tabs>
          <w:tab w:val="clear" w:pos="1701"/>
          <w:tab w:val="clear" w:pos="2268"/>
          <w:tab w:val="clear" w:pos="2835"/>
        </w:tabs>
        <w:ind w:left="1134" w:firstLine="0"/>
      </w:pPr>
      <w:r w:rsidRPr="001E09B0">
        <w:rPr>
          <w:bCs/>
        </w:rPr>
        <w:t xml:space="preserve">The Committee </w:t>
      </w:r>
      <w:r>
        <w:rPr>
          <w:bCs/>
        </w:rPr>
        <w:t>is concerned about the insufficient budget allocat</w:t>
      </w:r>
      <w:r w:rsidR="009A2D3B">
        <w:rPr>
          <w:bCs/>
        </w:rPr>
        <w:t>ion</w:t>
      </w:r>
      <w:r>
        <w:rPr>
          <w:bCs/>
        </w:rPr>
        <w:t xml:space="preserve"> to social protection</w:t>
      </w:r>
      <w:r w:rsidR="004264F6">
        <w:rPr>
          <w:bCs/>
        </w:rPr>
        <w:t xml:space="preserve"> as well as</w:t>
      </w:r>
      <w:r>
        <w:rPr>
          <w:bCs/>
        </w:rPr>
        <w:t xml:space="preserve"> the inadequate coverage and amount of overall social security benefits</w:t>
      </w:r>
      <w:r w:rsidR="004264F6">
        <w:rPr>
          <w:bCs/>
        </w:rPr>
        <w:t xml:space="preserve">, which </w:t>
      </w:r>
      <w:r w:rsidR="00CF776B">
        <w:rPr>
          <w:bCs/>
        </w:rPr>
        <w:t xml:space="preserve">has led to the ineffectiveness of </w:t>
      </w:r>
      <w:r w:rsidR="004264F6">
        <w:rPr>
          <w:bCs/>
        </w:rPr>
        <w:t xml:space="preserve">the social security system in reducing poverty. </w:t>
      </w:r>
      <w:r>
        <w:rPr>
          <w:bCs/>
        </w:rPr>
        <w:t xml:space="preserve">It is also concerned about certain conditions attached to social assistance benefits, which </w:t>
      </w:r>
      <w:r w:rsidRPr="00FC60B7">
        <w:rPr>
          <w:bCs/>
        </w:rPr>
        <w:t>effectively den</w:t>
      </w:r>
      <w:r>
        <w:rPr>
          <w:bCs/>
        </w:rPr>
        <w:t>y</w:t>
      </w:r>
      <w:r w:rsidRPr="00FC60B7">
        <w:rPr>
          <w:bCs/>
        </w:rPr>
        <w:t xml:space="preserve"> access to social security benefits</w:t>
      </w:r>
      <w:r>
        <w:rPr>
          <w:bCs/>
        </w:rPr>
        <w:t xml:space="preserve"> by certain disadvantaged and marginalized groups. They include the conditioning of parental allowance on </w:t>
      </w:r>
      <w:r w:rsidR="00F6351A">
        <w:rPr>
          <w:bCs/>
        </w:rPr>
        <w:t xml:space="preserve">certain criteria, such as </w:t>
      </w:r>
      <w:r>
        <w:rPr>
          <w:bCs/>
        </w:rPr>
        <w:t>school attendance and vaccination of children, which has a significant discriminatory effect on Roma families, and</w:t>
      </w:r>
      <w:r w:rsidR="00C1748C">
        <w:rPr>
          <w:bCs/>
        </w:rPr>
        <w:t xml:space="preserve"> </w:t>
      </w:r>
      <w:r w:rsidR="004264F6">
        <w:rPr>
          <w:bCs/>
        </w:rPr>
        <w:t>conditioning financial</w:t>
      </w:r>
      <w:r>
        <w:rPr>
          <w:bCs/>
        </w:rPr>
        <w:t xml:space="preserve"> social assistance on perform</w:t>
      </w:r>
      <w:r w:rsidR="00C1748C">
        <w:rPr>
          <w:bCs/>
        </w:rPr>
        <w:t>ance of</w:t>
      </w:r>
      <w:r>
        <w:rPr>
          <w:bCs/>
        </w:rPr>
        <w:t xml:space="preserve"> unpaid work. It is also concerned about the complicated administrative procedure for claiming financial social assistance</w:t>
      </w:r>
      <w:r w:rsidR="008870BD">
        <w:rPr>
          <w:bCs/>
        </w:rPr>
        <w:t>.</w:t>
      </w:r>
      <w:r w:rsidR="00107521">
        <w:rPr>
          <w:bCs/>
        </w:rPr>
        <w:t xml:space="preserve"> (Arts. 9 and 11)</w:t>
      </w:r>
      <w:r w:rsidR="00C5324E">
        <w:rPr>
          <w:bCs/>
        </w:rPr>
        <w:t xml:space="preserve"> </w:t>
      </w:r>
    </w:p>
    <w:p w14:paraId="26831588" w14:textId="04327380" w:rsidR="004D0556" w:rsidRDefault="004D0556" w:rsidP="00442AD1">
      <w:pPr>
        <w:pStyle w:val="SingleTxtG"/>
        <w:numPr>
          <w:ilvl w:val="0"/>
          <w:numId w:val="32"/>
        </w:numPr>
        <w:tabs>
          <w:tab w:val="clear" w:pos="1701"/>
          <w:tab w:val="clear" w:pos="2268"/>
          <w:tab w:val="clear" w:pos="2835"/>
        </w:tabs>
        <w:ind w:left="1134" w:firstLine="0"/>
        <w:rPr>
          <w:b/>
          <w:bCs/>
        </w:rPr>
      </w:pPr>
      <w:r w:rsidRPr="00101D31">
        <w:rPr>
          <w:b/>
          <w:bCs/>
        </w:rPr>
        <w:t>The Committee recommends</w:t>
      </w:r>
      <w:r w:rsidR="00101D31" w:rsidRPr="00101D31">
        <w:rPr>
          <w:b/>
          <w:bCs/>
        </w:rPr>
        <w:t xml:space="preserve"> that the State party</w:t>
      </w:r>
      <w:r w:rsidR="00826BAB">
        <w:rPr>
          <w:b/>
          <w:bCs/>
        </w:rPr>
        <w:t>:</w:t>
      </w:r>
    </w:p>
    <w:p w14:paraId="28EF87AB" w14:textId="157B5609" w:rsidR="00101D31" w:rsidRDefault="00826BAB" w:rsidP="004D0556">
      <w:pPr>
        <w:pStyle w:val="SingleTxtG"/>
        <w:rPr>
          <w:b/>
          <w:bCs/>
        </w:rPr>
      </w:pPr>
      <w:r>
        <w:rPr>
          <w:b/>
          <w:bCs/>
        </w:rPr>
        <w:tab/>
        <w:t>(a)</w:t>
      </w:r>
      <w:r>
        <w:rPr>
          <w:b/>
          <w:bCs/>
        </w:rPr>
        <w:tab/>
      </w:r>
      <w:r w:rsidR="00101D31">
        <w:rPr>
          <w:b/>
          <w:bCs/>
        </w:rPr>
        <w:t>Raise the budget allocation to social protection and increase the coverage and amount of social security</w:t>
      </w:r>
      <w:r>
        <w:rPr>
          <w:b/>
          <w:bCs/>
        </w:rPr>
        <w:t xml:space="preserve"> benefits;</w:t>
      </w:r>
    </w:p>
    <w:p w14:paraId="3FF4F8A1" w14:textId="7DB00549" w:rsidR="00826BAB" w:rsidRDefault="00826BAB" w:rsidP="004D0556">
      <w:pPr>
        <w:pStyle w:val="SingleTxtG"/>
        <w:rPr>
          <w:b/>
          <w:bCs/>
        </w:rPr>
      </w:pPr>
      <w:r>
        <w:rPr>
          <w:b/>
          <w:bCs/>
        </w:rPr>
        <w:tab/>
        <w:t>(b)</w:t>
      </w:r>
      <w:r>
        <w:rPr>
          <w:b/>
          <w:bCs/>
        </w:rPr>
        <w:tab/>
        <w:t xml:space="preserve">Review the conditions attached to social assistance benefits, particularly the parental allowance and financial social assistance, with a view to removing the </w:t>
      </w:r>
      <w:r>
        <w:rPr>
          <w:b/>
          <w:bCs/>
        </w:rPr>
        <w:lastRenderedPageBreak/>
        <w:t xml:space="preserve">conditions that are discriminatory </w:t>
      </w:r>
      <w:r w:rsidR="00C1748C">
        <w:rPr>
          <w:b/>
          <w:bCs/>
        </w:rPr>
        <w:t xml:space="preserve">or have a discriminatory effect, </w:t>
      </w:r>
      <w:r>
        <w:rPr>
          <w:b/>
          <w:bCs/>
        </w:rPr>
        <w:t>and contra</w:t>
      </w:r>
      <w:r w:rsidR="004723FC">
        <w:rPr>
          <w:b/>
          <w:bCs/>
        </w:rPr>
        <w:t>di</w:t>
      </w:r>
      <w:r>
        <w:rPr>
          <w:b/>
          <w:bCs/>
        </w:rPr>
        <w:t>ct human rights norms and take the effective measures to improve pick-up rates of such benefits;</w:t>
      </w:r>
    </w:p>
    <w:p w14:paraId="2132B1DE" w14:textId="722CEAA5" w:rsidR="00826BAB" w:rsidRPr="00101D31" w:rsidRDefault="00826BAB" w:rsidP="004D0556">
      <w:pPr>
        <w:pStyle w:val="SingleTxtG"/>
        <w:rPr>
          <w:b/>
          <w:bCs/>
        </w:rPr>
      </w:pPr>
      <w:r>
        <w:rPr>
          <w:b/>
          <w:bCs/>
        </w:rPr>
        <w:tab/>
        <w:t>(c)</w:t>
      </w:r>
      <w:r>
        <w:rPr>
          <w:b/>
          <w:bCs/>
        </w:rPr>
        <w:tab/>
        <w:t>Streamline the administrative procedure with a view to making it easily accessible and user-friendly.</w:t>
      </w:r>
    </w:p>
    <w:p w14:paraId="0F54FCBB" w14:textId="5EBCB921" w:rsidR="004D0556" w:rsidRPr="00495F3F" w:rsidRDefault="004D0556" w:rsidP="004D0556">
      <w:pPr>
        <w:pStyle w:val="H23G"/>
      </w:pPr>
      <w:r>
        <w:tab/>
      </w:r>
      <w:r>
        <w:tab/>
      </w:r>
      <w:r w:rsidR="00E0182E">
        <w:t>Child marriage</w:t>
      </w:r>
    </w:p>
    <w:p w14:paraId="06C8D3F5" w14:textId="2366F12C" w:rsidR="00143F7D" w:rsidRDefault="00AC1085" w:rsidP="00442AD1">
      <w:pPr>
        <w:pStyle w:val="SingleTxtG"/>
        <w:numPr>
          <w:ilvl w:val="0"/>
          <w:numId w:val="32"/>
        </w:numPr>
        <w:tabs>
          <w:tab w:val="clear" w:pos="1701"/>
          <w:tab w:val="clear" w:pos="2268"/>
          <w:tab w:val="clear" w:pos="2835"/>
        </w:tabs>
        <w:ind w:left="1134" w:firstLine="0"/>
        <w:rPr>
          <w:bCs/>
        </w:rPr>
      </w:pPr>
      <w:r>
        <w:t xml:space="preserve">While noting that the </w:t>
      </w:r>
      <w:r w:rsidR="00D2439E">
        <w:t xml:space="preserve">Family Act </w:t>
      </w:r>
      <w:r>
        <w:t xml:space="preserve">sets the age of marriage for both sexes at 18 years, </w:t>
      </w:r>
      <w:r>
        <w:rPr>
          <w:bCs/>
        </w:rPr>
        <w:t>t</w:t>
      </w:r>
      <w:r w:rsidR="004D0556" w:rsidRPr="001E09B0">
        <w:rPr>
          <w:bCs/>
        </w:rPr>
        <w:t xml:space="preserve">he Committee </w:t>
      </w:r>
      <w:r w:rsidR="00E0182E">
        <w:rPr>
          <w:bCs/>
        </w:rPr>
        <w:t>is concerned about t</w:t>
      </w:r>
      <w:r w:rsidR="004F7EC2">
        <w:rPr>
          <w:bCs/>
        </w:rPr>
        <w:t>he continuing practice of c</w:t>
      </w:r>
      <w:r w:rsidR="00143F7D">
        <w:rPr>
          <w:bCs/>
        </w:rPr>
        <w:t>hild marriage</w:t>
      </w:r>
      <w:r>
        <w:rPr>
          <w:bCs/>
        </w:rPr>
        <w:t>, in particular of girls</w:t>
      </w:r>
      <w:r w:rsidR="00CF776B">
        <w:rPr>
          <w:bCs/>
        </w:rPr>
        <w:t xml:space="preserve"> and its serious impact on the economic, social and cultural rights</w:t>
      </w:r>
      <w:r w:rsidR="007533F7">
        <w:rPr>
          <w:bCs/>
        </w:rPr>
        <w:t xml:space="preserve"> (Arts. 3 and 10)</w:t>
      </w:r>
      <w:r w:rsidR="00CF776B">
        <w:rPr>
          <w:bCs/>
        </w:rPr>
        <w:t xml:space="preserve">. </w:t>
      </w:r>
    </w:p>
    <w:p w14:paraId="1368A79E" w14:textId="5E8CB5AA" w:rsidR="004F7EC2" w:rsidRPr="00E0182E" w:rsidRDefault="00E0182E" w:rsidP="00442AD1">
      <w:pPr>
        <w:pStyle w:val="SingleTxtG"/>
        <w:numPr>
          <w:ilvl w:val="0"/>
          <w:numId w:val="32"/>
        </w:numPr>
        <w:tabs>
          <w:tab w:val="clear" w:pos="1701"/>
          <w:tab w:val="clear" w:pos="2268"/>
          <w:tab w:val="clear" w:pos="2835"/>
        </w:tabs>
        <w:ind w:left="1134" w:firstLine="0"/>
        <w:rPr>
          <w:b/>
          <w:bCs/>
        </w:rPr>
      </w:pPr>
      <w:r w:rsidRPr="00E0182E">
        <w:rPr>
          <w:b/>
          <w:bCs/>
        </w:rPr>
        <w:t xml:space="preserve">The Committee urges the State party to </w:t>
      </w:r>
      <w:r w:rsidR="00C76757">
        <w:rPr>
          <w:b/>
          <w:bCs/>
        </w:rPr>
        <w:t>ens</w:t>
      </w:r>
      <w:r w:rsidRPr="00E0182E">
        <w:rPr>
          <w:b/>
          <w:bCs/>
        </w:rPr>
        <w:t>ure strict adherence to the legal provision that sets the minimum age for marriage at 18</w:t>
      </w:r>
      <w:r w:rsidR="00AC1085">
        <w:rPr>
          <w:b/>
          <w:bCs/>
        </w:rPr>
        <w:t xml:space="preserve"> and </w:t>
      </w:r>
      <w:r w:rsidRPr="00E0182E">
        <w:rPr>
          <w:b/>
          <w:bCs/>
        </w:rPr>
        <w:t>take all measures to eliminate child marriage</w:t>
      </w:r>
      <w:r w:rsidR="00CF776B">
        <w:rPr>
          <w:b/>
          <w:bCs/>
        </w:rPr>
        <w:t xml:space="preserve"> and to sensitize the public to the harmful effects of the practice</w:t>
      </w:r>
      <w:r w:rsidR="00AC1085">
        <w:rPr>
          <w:b/>
          <w:bCs/>
        </w:rPr>
        <w:t xml:space="preserve">. </w:t>
      </w:r>
    </w:p>
    <w:p w14:paraId="07262067" w14:textId="77777777" w:rsidR="004D0556" w:rsidRPr="00495F3F" w:rsidRDefault="004D0556" w:rsidP="004D0556">
      <w:pPr>
        <w:pStyle w:val="H23G"/>
      </w:pPr>
      <w:r w:rsidRPr="00495F3F">
        <w:tab/>
      </w:r>
      <w:r w:rsidRPr="00495F3F">
        <w:tab/>
        <w:t>Poverty</w:t>
      </w:r>
    </w:p>
    <w:p w14:paraId="36D092C8" w14:textId="159BFDF3" w:rsidR="0006724A" w:rsidRDefault="0006724A" w:rsidP="00442AD1">
      <w:pPr>
        <w:pStyle w:val="SingleTxtG"/>
        <w:numPr>
          <w:ilvl w:val="0"/>
          <w:numId w:val="32"/>
        </w:numPr>
        <w:tabs>
          <w:tab w:val="clear" w:pos="1701"/>
          <w:tab w:val="clear" w:pos="2268"/>
          <w:tab w:val="clear" w:pos="2835"/>
        </w:tabs>
        <w:ind w:left="1134" w:firstLine="0"/>
        <w:rPr>
          <w:bCs/>
        </w:rPr>
      </w:pPr>
      <w:r w:rsidRPr="001E09B0">
        <w:rPr>
          <w:bCs/>
        </w:rPr>
        <w:t xml:space="preserve">The Committee </w:t>
      </w:r>
      <w:r>
        <w:rPr>
          <w:bCs/>
        </w:rPr>
        <w:t>is concerned about the continuing high incidence of poverty, particularly among Roma</w:t>
      </w:r>
      <w:r w:rsidR="0081106D">
        <w:rPr>
          <w:bCs/>
        </w:rPr>
        <w:t>,</w:t>
      </w:r>
      <w:r>
        <w:rPr>
          <w:bCs/>
        </w:rPr>
        <w:t xml:space="preserve"> </w:t>
      </w:r>
      <w:r w:rsidR="0081106D">
        <w:rPr>
          <w:bCs/>
        </w:rPr>
        <w:t xml:space="preserve">persons belonging to </w:t>
      </w:r>
      <w:r>
        <w:rPr>
          <w:bCs/>
        </w:rPr>
        <w:t>national minorit</w:t>
      </w:r>
      <w:r w:rsidR="0081106D">
        <w:rPr>
          <w:bCs/>
        </w:rPr>
        <w:t>y groups</w:t>
      </w:r>
      <w:r>
        <w:rPr>
          <w:bCs/>
        </w:rPr>
        <w:t>, persons with disabilities and internally displaced persons, despite some progress achieved</w:t>
      </w:r>
      <w:r w:rsidR="003960FF">
        <w:rPr>
          <w:bCs/>
        </w:rPr>
        <w:t>. T</w:t>
      </w:r>
      <w:r w:rsidR="00AC1085">
        <w:rPr>
          <w:bCs/>
        </w:rPr>
        <w:t xml:space="preserve">he Committee notes </w:t>
      </w:r>
      <w:r>
        <w:rPr>
          <w:bCs/>
        </w:rPr>
        <w:t xml:space="preserve">with regret the closure of </w:t>
      </w:r>
      <w:r w:rsidRPr="00A75DED">
        <w:rPr>
          <w:bCs/>
        </w:rPr>
        <w:t>the Social Inclusion and Poverty Reduction Unit</w:t>
      </w:r>
      <w:r w:rsidR="00AC1085">
        <w:rPr>
          <w:bCs/>
        </w:rPr>
        <w:t xml:space="preserve"> and </w:t>
      </w:r>
      <w:r w:rsidR="003960FF">
        <w:rPr>
          <w:bCs/>
        </w:rPr>
        <w:t>it</w:t>
      </w:r>
      <w:r>
        <w:rPr>
          <w:bCs/>
        </w:rPr>
        <w:t xml:space="preserve"> is concerned about the absence of concrete policy and institutional framework on poverty reduction</w:t>
      </w:r>
      <w:r w:rsidR="0081106D">
        <w:rPr>
          <w:bCs/>
        </w:rPr>
        <w:t xml:space="preserve"> (Arts. 9 and 11)</w:t>
      </w:r>
      <w:r>
        <w:rPr>
          <w:bCs/>
        </w:rPr>
        <w:t>.</w:t>
      </w:r>
    </w:p>
    <w:p w14:paraId="463BC342" w14:textId="185F7A5D" w:rsidR="004D0556" w:rsidRPr="00C7525F" w:rsidRDefault="004D0556" w:rsidP="00442AD1">
      <w:pPr>
        <w:pStyle w:val="SingleTxtG"/>
        <w:numPr>
          <w:ilvl w:val="0"/>
          <w:numId w:val="32"/>
        </w:numPr>
        <w:tabs>
          <w:tab w:val="clear" w:pos="1701"/>
          <w:tab w:val="clear" w:pos="2268"/>
          <w:tab w:val="clear" w:pos="2835"/>
        </w:tabs>
        <w:ind w:left="1134" w:firstLine="0"/>
        <w:rPr>
          <w:b/>
          <w:bCs/>
        </w:rPr>
      </w:pPr>
      <w:r w:rsidRPr="00C7525F">
        <w:rPr>
          <w:b/>
          <w:bCs/>
        </w:rPr>
        <w:t xml:space="preserve">The Committee </w:t>
      </w:r>
      <w:r w:rsidR="0063305A" w:rsidRPr="00C7525F">
        <w:rPr>
          <w:b/>
          <w:bCs/>
        </w:rPr>
        <w:t>urges the State party to intensify its efforts to accelerate poverty reduction. In particular, it recommends that the State party:</w:t>
      </w:r>
    </w:p>
    <w:p w14:paraId="1FD138A8" w14:textId="6C70631E" w:rsidR="0063305A" w:rsidRPr="00C7525F" w:rsidRDefault="0063305A" w:rsidP="004D0556">
      <w:pPr>
        <w:pStyle w:val="SingleTxtG"/>
        <w:rPr>
          <w:b/>
          <w:bCs/>
        </w:rPr>
      </w:pPr>
      <w:r w:rsidRPr="00C7525F">
        <w:rPr>
          <w:b/>
          <w:bCs/>
        </w:rPr>
        <w:tab/>
        <w:t>(a)</w:t>
      </w:r>
      <w:r w:rsidRPr="00C7525F">
        <w:rPr>
          <w:b/>
          <w:bCs/>
        </w:rPr>
        <w:tab/>
        <w:t xml:space="preserve">Adopt </w:t>
      </w:r>
      <w:r w:rsidR="0081106D" w:rsidRPr="00C7525F">
        <w:rPr>
          <w:b/>
          <w:bCs/>
        </w:rPr>
        <w:t>a</w:t>
      </w:r>
      <w:r w:rsidRPr="00C7525F">
        <w:rPr>
          <w:b/>
          <w:bCs/>
        </w:rPr>
        <w:t xml:space="preserve"> </w:t>
      </w:r>
      <w:r w:rsidR="0081106D" w:rsidRPr="00C7525F">
        <w:rPr>
          <w:b/>
          <w:bCs/>
        </w:rPr>
        <w:t xml:space="preserve">framework </w:t>
      </w:r>
      <w:r w:rsidRPr="00C7525F">
        <w:rPr>
          <w:b/>
          <w:bCs/>
        </w:rPr>
        <w:t>policy on po</w:t>
      </w:r>
      <w:r w:rsidR="0081106D" w:rsidRPr="00C7525F">
        <w:rPr>
          <w:b/>
          <w:bCs/>
        </w:rPr>
        <w:t>verty</w:t>
      </w:r>
      <w:r w:rsidRPr="00C7525F">
        <w:rPr>
          <w:b/>
          <w:bCs/>
        </w:rPr>
        <w:t xml:space="preserve"> reduction, </w:t>
      </w:r>
      <w:r w:rsidR="0081106D" w:rsidRPr="00C7525F">
        <w:rPr>
          <w:b/>
          <w:bCs/>
        </w:rPr>
        <w:t>specifically focused on</w:t>
      </w:r>
      <w:r w:rsidRPr="00C7525F">
        <w:rPr>
          <w:b/>
          <w:bCs/>
        </w:rPr>
        <w:t xml:space="preserve"> those who are in systemic poverty, including </w:t>
      </w:r>
      <w:r w:rsidR="0081106D" w:rsidRPr="00C7525F">
        <w:rPr>
          <w:b/>
          <w:bCs/>
        </w:rPr>
        <w:t>Roma, persons belonging to national minority groups, persons with disabilities and internally displaced persons</w:t>
      </w:r>
      <w:r w:rsidRPr="00C7525F">
        <w:rPr>
          <w:b/>
          <w:bCs/>
        </w:rPr>
        <w:t>;</w:t>
      </w:r>
    </w:p>
    <w:p w14:paraId="149B2C3E" w14:textId="0646920C" w:rsidR="0081106D" w:rsidRPr="00C7525F" w:rsidRDefault="000E1858" w:rsidP="004D0556">
      <w:pPr>
        <w:pStyle w:val="SingleTxtG"/>
        <w:rPr>
          <w:b/>
          <w:bCs/>
        </w:rPr>
      </w:pPr>
      <w:r w:rsidRPr="00C7525F">
        <w:rPr>
          <w:b/>
          <w:bCs/>
        </w:rPr>
        <w:tab/>
        <w:t>(b)</w:t>
      </w:r>
      <w:r w:rsidRPr="00C7525F">
        <w:rPr>
          <w:b/>
          <w:bCs/>
        </w:rPr>
        <w:tab/>
        <w:t>Put in place a mechanism that will coordinate the implementation of the poverty reduction policy by various actors and monitor the progress;</w:t>
      </w:r>
    </w:p>
    <w:p w14:paraId="2038AB5E" w14:textId="3738F992" w:rsidR="0063305A" w:rsidRPr="00C7525F" w:rsidRDefault="0063305A" w:rsidP="004D0556">
      <w:pPr>
        <w:pStyle w:val="SingleTxtG"/>
        <w:rPr>
          <w:b/>
          <w:bCs/>
        </w:rPr>
      </w:pPr>
      <w:r w:rsidRPr="00C7525F">
        <w:rPr>
          <w:b/>
          <w:bCs/>
        </w:rPr>
        <w:tab/>
        <w:t>(</w:t>
      </w:r>
      <w:r w:rsidR="000E1858" w:rsidRPr="00C7525F">
        <w:rPr>
          <w:b/>
          <w:bCs/>
        </w:rPr>
        <w:t>c</w:t>
      </w:r>
      <w:r w:rsidRPr="00C7525F">
        <w:rPr>
          <w:b/>
          <w:bCs/>
        </w:rPr>
        <w:t>)</w:t>
      </w:r>
      <w:r w:rsidRPr="00C7525F">
        <w:rPr>
          <w:b/>
          <w:bCs/>
        </w:rPr>
        <w:tab/>
      </w:r>
      <w:r w:rsidR="0081106D" w:rsidRPr="00C7525F">
        <w:rPr>
          <w:b/>
          <w:bCs/>
        </w:rPr>
        <w:t>Allocate sufficient</w:t>
      </w:r>
      <w:r w:rsidR="004723FC">
        <w:rPr>
          <w:b/>
          <w:bCs/>
        </w:rPr>
        <w:t xml:space="preserve"> human and financial resources</w:t>
      </w:r>
      <w:r w:rsidR="0081106D" w:rsidRPr="00C7525F">
        <w:rPr>
          <w:b/>
          <w:bCs/>
        </w:rPr>
        <w:t xml:space="preserve"> to poverty reduction </w:t>
      </w:r>
      <w:r w:rsidR="000E1858" w:rsidRPr="00C7525F">
        <w:rPr>
          <w:b/>
          <w:bCs/>
        </w:rPr>
        <w:t>measures</w:t>
      </w:r>
      <w:r w:rsidR="0081106D" w:rsidRPr="00C7525F">
        <w:rPr>
          <w:b/>
          <w:bCs/>
        </w:rPr>
        <w:t xml:space="preserve"> and design the</w:t>
      </w:r>
      <w:r w:rsidR="005B3E8E">
        <w:rPr>
          <w:b/>
          <w:bCs/>
        </w:rPr>
        <w:t>m</w:t>
      </w:r>
      <w:r w:rsidR="0081106D" w:rsidRPr="00C7525F">
        <w:rPr>
          <w:b/>
          <w:bCs/>
        </w:rPr>
        <w:t xml:space="preserve"> to reach the </w:t>
      </w:r>
      <w:r w:rsidR="00AD3429">
        <w:rPr>
          <w:b/>
          <w:bCs/>
        </w:rPr>
        <w:t xml:space="preserve">persons living in poverty </w:t>
      </w:r>
      <w:r w:rsidR="0081106D" w:rsidRPr="00C7525F">
        <w:rPr>
          <w:b/>
          <w:bCs/>
        </w:rPr>
        <w:t>with a view to enhancing the efficacy of poverty reduction measures</w:t>
      </w:r>
      <w:r w:rsidR="000E1858" w:rsidRPr="00C7525F">
        <w:rPr>
          <w:b/>
          <w:bCs/>
        </w:rPr>
        <w:t>.</w:t>
      </w:r>
    </w:p>
    <w:p w14:paraId="7DBE8A06" w14:textId="77777777" w:rsidR="004D0556" w:rsidRPr="0031210A" w:rsidRDefault="004D0556" w:rsidP="004D0556">
      <w:pPr>
        <w:pStyle w:val="H23G"/>
      </w:pPr>
      <w:r>
        <w:tab/>
      </w:r>
      <w:r>
        <w:tab/>
      </w:r>
      <w:r w:rsidRPr="0031210A">
        <w:t xml:space="preserve">Right to </w:t>
      </w:r>
      <w:r>
        <w:t>adequate housing</w:t>
      </w:r>
    </w:p>
    <w:p w14:paraId="11C1FA39" w14:textId="09305F44" w:rsidR="004D0556" w:rsidRPr="001E09B0" w:rsidRDefault="00C76757" w:rsidP="00442AD1">
      <w:pPr>
        <w:pStyle w:val="SingleTxtG"/>
        <w:numPr>
          <w:ilvl w:val="0"/>
          <w:numId w:val="32"/>
        </w:numPr>
        <w:tabs>
          <w:tab w:val="clear" w:pos="1701"/>
          <w:tab w:val="clear" w:pos="2268"/>
          <w:tab w:val="clear" w:pos="2835"/>
        </w:tabs>
        <w:ind w:left="1134" w:firstLine="0"/>
        <w:rPr>
          <w:bCs/>
        </w:rPr>
      </w:pPr>
      <w:r>
        <w:t>T</w:t>
      </w:r>
      <w:r w:rsidR="0014057C" w:rsidRPr="001E09B0">
        <w:rPr>
          <w:bCs/>
        </w:rPr>
        <w:t xml:space="preserve">he Committee </w:t>
      </w:r>
      <w:r w:rsidR="0014057C">
        <w:rPr>
          <w:bCs/>
        </w:rPr>
        <w:t>is concerned about the limited provision of social housing to Roma and other disadvantaged and marginalized</w:t>
      </w:r>
      <w:r w:rsidR="004723FC">
        <w:rPr>
          <w:bCs/>
        </w:rPr>
        <w:t xml:space="preserve"> individuals and</w:t>
      </w:r>
      <w:r w:rsidR="0014057C">
        <w:rPr>
          <w:bCs/>
        </w:rPr>
        <w:t xml:space="preserve"> families. In addition, it is concerned about the deteriorating standard of living of those living in social housing. It is also concerned about the substandard living conditions in the informal settlements, including irregular access to safe drinking water, adequate sanitation and sewage facilities, heating and electricity. </w:t>
      </w:r>
      <w:r>
        <w:rPr>
          <w:bCs/>
        </w:rPr>
        <w:t>It</w:t>
      </w:r>
      <w:r w:rsidR="0014057C">
        <w:rPr>
          <w:bCs/>
        </w:rPr>
        <w:t xml:space="preserve"> is also concerned about the evictions, allegedly carried out without following due process provided for in the Law</w:t>
      </w:r>
      <w:r w:rsidR="0014057C" w:rsidRPr="00250009">
        <w:rPr>
          <w:bCs/>
        </w:rPr>
        <w:t xml:space="preserve"> </w:t>
      </w:r>
      <w:r w:rsidR="0014057C">
        <w:rPr>
          <w:bCs/>
        </w:rPr>
        <w:t xml:space="preserve">on Housing and Building Maintenance, which have rendered many of </w:t>
      </w:r>
      <w:r w:rsidR="005B3E8E">
        <w:rPr>
          <w:bCs/>
        </w:rPr>
        <w:t xml:space="preserve">the </w:t>
      </w:r>
      <w:r w:rsidR="0014057C">
        <w:rPr>
          <w:bCs/>
        </w:rPr>
        <w:t>evicted persons homeless</w:t>
      </w:r>
      <w:r w:rsidR="00C7525F">
        <w:rPr>
          <w:bCs/>
        </w:rPr>
        <w:t xml:space="preserve"> (Art. 11)</w:t>
      </w:r>
      <w:r w:rsidR="0014057C">
        <w:rPr>
          <w:bCs/>
        </w:rPr>
        <w:t>.</w:t>
      </w:r>
      <w:r w:rsidR="004D0556" w:rsidRPr="001E09B0">
        <w:rPr>
          <w:bCs/>
        </w:rPr>
        <w:t xml:space="preserve"> </w:t>
      </w:r>
    </w:p>
    <w:p w14:paraId="74544C82" w14:textId="2258EFAC" w:rsidR="000E1858" w:rsidRPr="00C7525F" w:rsidRDefault="004D0556" w:rsidP="008870BD">
      <w:pPr>
        <w:pStyle w:val="SingleTxtG"/>
        <w:numPr>
          <w:ilvl w:val="0"/>
          <w:numId w:val="32"/>
        </w:numPr>
        <w:tabs>
          <w:tab w:val="clear" w:pos="1701"/>
          <w:tab w:val="clear" w:pos="2268"/>
          <w:tab w:val="clear" w:pos="2835"/>
        </w:tabs>
        <w:ind w:left="1134" w:firstLine="0"/>
        <w:rPr>
          <w:b/>
          <w:bCs/>
        </w:rPr>
      </w:pPr>
      <w:r w:rsidRPr="00C7525F">
        <w:rPr>
          <w:b/>
          <w:bCs/>
        </w:rPr>
        <w:t>The Committee recommends</w:t>
      </w:r>
      <w:r w:rsidR="000E1858" w:rsidRPr="00C7525F">
        <w:rPr>
          <w:b/>
          <w:bCs/>
        </w:rPr>
        <w:t xml:space="preserve"> that the State party: </w:t>
      </w:r>
    </w:p>
    <w:p w14:paraId="2C0F66FC" w14:textId="46AA0F1A" w:rsidR="001B00CC" w:rsidRDefault="000E1858" w:rsidP="004D0556">
      <w:pPr>
        <w:pStyle w:val="SingleTxtG"/>
        <w:rPr>
          <w:b/>
          <w:bCs/>
        </w:rPr>
      </w:pPr>
      <w:r w:rsidRPr="00C7525F">
        <w:rPr>
          <w:b/>
          <w:bCs/>
        </w:rPr>
        <w:tab/>
        <w:t>(a)</w:t>
      </w:r>
      <w:r w:rsidRPr="00C7525F">
        <w:rPr>
          <w:b/>
          <w:bCs/>
        </w:rPr>
        <w:tab/>
        <w:t>Increase the number of social housing units provided to disadvantaged and marginalized</w:t>
      </w:r>
      <w:r w:rsidR="004723FC">
        <w:rPr>
          <w:b/>
          <w:bCs/>
        </w:rPr>
        <w:t xml:space="preserve"> individuals and</w:t>
      </w:r>
      <w:r w:rsidRPr="00C7525F">
        <w:rPr>
          <w:b/>
          <w:bCs/>
        </w:rPr>
        <w:t xml:space="preserve"> families</w:t>
      </w:r>
      <w:r w:rsidR="001B00CC">
        <w:rPr>
          <w:b/>
          <w:bCs/>
        </w:rPr>
        <w:t>;</w:t>
      </w:r>
    </w:p>
    <w:p w14:paraId="139626D3" w14:textId="71A316CA" w:rsidR="000E1858" w:rsidRPr="00C7525F" w:rsidRDefault="001B00CC" w:rsidP="004D0556">
      <w:pPr>
        <w:pStyle w:val="SingleTxtG"/>
        <w:rPr>
          <w:b/>
          <w:bCs/>
        </w:rPr>
      </w:pPr>
      <w:r>
        <w:rPr>
          <w:b/>
          <w:bCs/>
        </w:rPr>
        <w:tab/>
        <w:t>(b)</w:t>
      </w:r>
      <w:r>
        <w:rPr>
          <w:b/>
          <w:bCs/>
        </w:rPr>
        <w:tab/>
      </w:r>
      <w:r w:rsidR="004723FC">
        <w:rPr>
          <w:b/>
          <w:bCs/>
        </w:rPr>
        <w:t>L</w:t>
      </w:r>
      <w:r w:rsidR="000E1858" w:rsidRPr="00C7525F">
        <w:rPr>
          <w:b/>
          <w:bCs/>
        </w:rPr>
        <w:t>ift the property tax imposed on social housing;</w:t>
      </w:r>
    </w:p>
    <w:p w14:paraId="59A921DD" w14:textId="23FDEF7B" w:rsidR="000E1858" w:rsidRPr="00C7525F" w:rsidRDefault="000E1858" w:rsidP="000E1858">
      <w:pPr>
        <w:pStyle w:val="SingleTxtG"/>
        <w:rPr>
          <w:b/>
          <w:bCs/>
        </w:rPr>
      </w:pPr>
      <w:r w:rsidRPr="00C7525F">
        <w:rPr>
          <w:b/>
          <w:bCs/>
        </w:rPr>
        <w:tab/>
        <w:t>(</w:t>
      </w:r>
      <w:r w:rsidR="001B00CC">
        <w:rPr>
          <w:b/>
          <w:bCs/>
        </w:rPr>
        <w:t>c</w:t>
      </w:r>
      <w:r w:rsidRPr="00C7525F">
        <w:rPr>
          <w:b/>
          <w:bCs/>
        </w:rPr>
        <w:t>)</w:t>
      </w:r>
      <w:r w:rsidRPr="00C7525F">
        <w:rPr>
          <w:b/>
          <w:bCs/>
        </w:rPr>
        <w:tab/>
        <w:t xml:space="preserve">Provide durable housing solutions to people living </w:t>
      </w:r>
      <w:r w:rsidR="005B3E8E">
        <w:rPr>
          <w:b/>
          <w:bCs/>
        </w:rPr>
        <w:t xml:space="preserve">in </w:t>
      </w:r>
      <w:r w:rsidRPr="00C7525F">
        <w:rPr>
          <w:b/>
          <w:bCs/>
        </w:rPr>
        <w:t xml:space="preserve">informal settlements and </w:t>
      </w:r>
      <w:r w:rsidR="00C7525F" w:rsidRPr="00C7525F">
        <w:rPr>
          <w:b/>
          <w:bCs/>
        </w:rPr>
        <w:t xml:space="preserve">illegal buildings </w:t>
      </w:r>
      <w:r w:rsidRPr="00C7525F">
        <w:rPr>
          <w:b/>
          <w:bCs/>
        </w:rPr>
        <w:t>and</w:t>
      </w:r>
      <w:r w:rsidR="004723FC">
        <w:rPr>
          <w:b/>
          <w:bCs/>
        </w:rPr>
        <w:t xml:space="preserve"> in the meantime</w:t>
      </w:r>
      <w:r w:rsidRPr="00C7525F">
        <w:rPr>
          <w:b/>
          <w:bCs/>
        </w:rPr>
        <w:t xml:space="preserve"> improve </w:t>
      </w:r>
      <w:r w:rsidR="004723FC">
        <w:rPr>
          <w:b/>
          <w:bCs/>
        </w:rPr>
        <w:t xml:space="preserve">their </w:t>
      </w:r>
      <w:r w:rsidRPr="00C7525F">
        <w:rPr>
          <w:b/>
          <w:bCs/>
        </w:rPr>
        <w:t>living conditions in the informal settlements</w:t>
      </w:r>
      <w:r w:rsidR="00C7525F" w:rsidRPr="00C7525F">
        <w:rPr>
          <w:b/>
          <w:bCs/>
        </w:rPr>
        <w:t>;</w:t>
      </w:r>
    </w:p>
    <w:p w14:paraId="617D12B4" w14:textId="77777777" w:rsidR="005244A7" w:rsidRDefault="00C7525F" w:rsidP="000E1858">
      <w:pPr>
        <w:pStyle w:val="SingleTxtG"/>
        <w:rPr>
          <w:b/>
          <w:bCs/>
        </w:rPr>
      </w:pPr>
      <w:r w:rsidRPr="00C7525F">
        <w:rPr>
          <w:b/>
          <w:bCs/>
        </w:rPr>
        <w:tab/>
        <w:t>(</w:t>
      </w:r>
      <w:r w:rsidR="001B00CC">
        <w:rPr>
          <w:b/>
          <w:bCs/>
        </w:rPr>
        <w:t>d</w:t>
      </w:r>
      <w:r w:rsidRPr="00C7525F">
        <w:rPr>
          <w:b/>
          <w:bCs/>
        </w:rPr>
        <w:t>)</w:t>
      </w:r>
      <w:r w:rsidRPr="00C7525F">
        <w:rPr>
          <w:b/>
          <w:bCs/>
        </w:rPr>
        <w:tab/>
        <w:t xml:space="preserve">Ensure that evictions, when unavoidable, are carried out in accordance with due process of law, are preceded by consultation with the persons concerned and </w:t>
      </w:r>
      <w:r w:rsidRPr="00C7525F">
        <w:rPr>
          <w:b/>
          <w:bCs/>
        </w:rPr>
        <w:lastRenderedPageBreak/>
        <w:t>consideration of alternatives, are subject to appeal, and result in adequate compensation or provision of adequate alternative housing</w:t>
      </w:r>
      <w:r w:rsidR="005244A7">
        <w:rPr>
          <w:b/>
          <w:bCs/>
        </w:rPr>
        <w:t>;</w:t>
      </w:r>
    </w:p>
    <w:p w14:paraId="153BF76E" w14:textId="5D61CFCB" w:rsidR="00C7525F" w:rsidRDefault="005244A7" w:rsidP="000E1858">
      <w:pPr>
        <w:pStyle w:val="SingleTxtG"/>
        <w:rPr>
          <w:b/>
          <w:bCs/>
        </w:rPr>
      </w:pPr>
      <w:r>
        <w:rPr>
          <w:b/>
          <w:bCs/>
        </w:rPr>
        <w:tab/>
        <w:t>(e)</w:t>
      </w:r>
      <w:r>
        <w:rPr>
          <w:b/>
          <w:bCs/>
        </w:rPr>
        <w:tab/>
      </w:r>
      <w:r w:rsidR="00112904">
        <w:rPr>
          <w:b/>
          <w:bCs/>
        </w:rPr>
        <w:t>Take into account the Committee’s general comment No. 7 (1997) on forced evictions</w:t>
      </w:r>
      <w:r w:rsidR="001B00CC">
        <w:rPr>
          <w:b/>
          <w:bCs/>
        </w:rPr>
        <w:t>.</w:t>
      </w:r>
    </w:p>
    <w:p w14:paraId="7A83F926" w14:textId="77777777" w:rsidR="00EE45BF" w:rsidRPr="0031210A" w:rsidRDefault="00EE45BF" w:rsidP="00EE45BF">
      <w:pPr>
        <w:pStyle w:val="H23G"/>
      </w:pPr>
      <w:r>
        <w:tab/>
      </w:r>
      <w:r>
        <w:tab/>
        <w:t>Right to health</w:t>
      </w:r>
    </w:p>
    <w:p w14:paraId="408C3065" w14:textId="45254D88" w:rsidR="000337D0" w:rsidRPr="001E09B0" w:rsidRDefault="000337D0" w:rsidP="00442AD1">
      <w:pPr>
        <w:pStyle w:val="SingleTxtG"/>
        <w:numPr>
          <w:ilvl w:val="0"/>
          <w:numId w:val="32"/>
        </w:numPr>
        <w:tabs>
          <w:tab w:val="clear" w:pos="1701"/>
          <w:tab w:val="clear" w:pos="2268"/>
          <w:tab w:val="clear" w:pos="2835"/>
        </w:tabs>
        <w:ind w:left="1134" w:firstLine="0"/>
        <w:rPr>
          <w:bCs/>
        </w:rPr>
      </w:pPr>
      <w:r>
        <w:t>The Committee is concerned about the adverse impact of the measures taken in response to the financial and the pandemic crises on the health</w:t>
      </w:r>
      <w:r w:rsidR="00BF217F">
        <w:t>care</w:t>
      </w:r>
      <w:r>
        <w:t xml:space="preserve"> system, particularly </w:t>
      </w:r>
      <w:r w:rsidR="001B00CC">
        <w:t>as regards</w:t>
      </w:r>
      <w:r>
        <w:t xml:space="preserve"> financial sustainability of </w:t>
      </w:r>
      <w:r w:rsidR="00BF217F">
        <w:t xml:space="preserve">the </w:t>
      </w:r>
      <w:r>
        <w:t>system. I</w:t>
      </w:r>
      <w:r w:rsidR="00BF217F">
        <w:t>t</w:t>
      </w:r>
      <w:r>
        <w:t xml:space="preserve"> is also concerned about the </w:t>
      </w:r>
      <w:r w:rsidR="001B00CC">
        <w:t xml:space="preserve">large </w:t>
      </w:r>
      <w:r>
        <w:t xml:space="preserve">disparities </w:t>
      </w:r>
      <w:r w:rsidR="001B00CC">
        <w:t xml:space="preserve">between different socio-economic groups </w:t>
      </w:r>
      <w:r>
        <w:t xml:space="preserve">in access to healthcare services. </w:t>
      </w:r>
      <w:r w:rsidR="001B00CC">
        <w:t xml:space="preserve">It is also concerned that </w:t>
      </w:r>
      <w:r w:rsidR="000777EB">
        <w:t xml:space="preserve">persons without a registered residence </w:t>
      </w:r>
      <w:r w:rsidR="001B00CC">
        <w:t xml:space="preserve">are </w:t>
      </w:r>
      <w:r w:rsidR="000777EB">
        <w:t>often</w:t>
      </w:r>
      <w:r w:rsidR="001B00CC">
        <w:t xml:space="preserve"> restricted </w:t>
      </w:r>
      <w:r w:rsidR="005B3E8E">
        <w:t xml:space="preserve">from </w:t>
      </w:r>
      <w:r w:rsidR="001B00CC">
        <w:t>access</w:t>
      </w:r>
      <w:r w:rsidR="005B3E8E">
        <w:t>ing</w:t>
      </w:r>
      <w:r w:rsidR="001B00CC">
        <w:t xml:space="preserve"> basic </w:t>
      </w:r>
      <w:r w:rsidR="000777EB">
        <w:t xml:space="preserve">healthcare services </w:t>
      </w:r>
      <w:r w:rsidR="00B4039B">
        <w:t xml:space="preserve">while </w:t>
      </w:r>
      <w:r w:rsidR="001B00CC">
        <w:t>the law</w:t>
      </w:r>
      <w:r w:rsidR="00B4039B">
        <w:t xml:space="preserve"> allows so</w:t>
      </w:r>
      <w:r w:rsidR="001B00CC">
        <w:t xml:space="preserve"> and</w:t>
      </w:r>
      <w:r>
        <w:t xml:space="preserve"> that </w:t>
      </w:r>
      <w:r w:rsidR="000777EB">
        <w:t>refugees and asylum seekers</w:t>
      </w:r>
      <w:r>
        <w:t>, particularly those living in private accommodations,</w:t>
      </w:r>
      <w:r w:rsidR="000777EB">
        <w:t xml:space="preserve"> </w:t>
      </w:r>
      <w:r w:rsidR="001B00CC">
        <w:t xml:space="preserve">are limited to </w:t>
      </w:r>
      <w:r w:rsidR="005B3E8E">
        <w:t xml:space="preserve">receiving </w:t>
      </w:r>
      <w:r w:rsidR="000777EB">
        <w:t xml:space="preserve">emergency </w:t>
      </w:r>
      <w:r w:rsidR="001B00CC">
        <w:t>healthcare services</w:t>
      </w:r>
      <w:r w:rsidR="000777EB">
        <w:t xml:space="preserve"> </w:t>
      </w:r>
      <w:r w:rsidR="00FC1BEE">
        <w:t>(</w:t>
      </w:r>
      <w:r w:rsidR="00731470">
        <w:t>A</w:t>
      </w:r>
      <w:r w:rsidR="00FC1BEE">
        <w:t>rt</w:t>
      </w:r>
      <w:r w:rsidR="00731470">
        <w:t>s.</w:t>
      </w:r>
      <w:r w:rsidR="00FC1BEE">
        <w:t xml:space="preserve"> </w:t>
      </w:r>
      <w:r w:rsidR="00731470">
        <w:t xml:space="preserve">2(2) and </w:t>
      </w:r>
      <w:r w:rsidR="00FC1BEE">
        <w:t>12)</w:t>
      </w:r>
      <w:r w:rsidR="00B4039B">
        <w:t>.</w:t>
      </w:r>
      <w:r w:rsidR="00FC1BEE">
        <w:t xml:space="preserve"> </w:t>
      </w:r>
    </w:p>
    <w:p w14:paraId="1E07F171" w14:textId="2A63497A" w:rsidR="00EE45BF" w:rsidRPr="000A4724" w:rsidRDefault="00EE45BF" w:rsidP="00442AD1">
      <w:pPr>
        <w:pStyle w:val="SingleTxtG"/>
        <w:numPr>
          <w:ilvl w:val="0"/>
          <w:numId w:val="32"/>
        </w:numPr>
        <w:tabs>
          <w:tab w:val="clear" w:pos="1701"/>
          <w:tab w:val="clear" w:pos="2268"/>
          <w:tab w:val="clear" w:pos="2835"/>
        </w:tabs>
        <w:ind w:left="1134" w:firstLine="0"/>
        <w:rPr>
          <w:b/>
          <w:bCs/>
        </w:rPr>
      </w:pPr>
      <w:r w:rsidRPr="000A4724">
        <w:rPr>
          <w:b/>
          <w:bCs/>
        </w:rPr>
        <w:t>The Committee recommends</w:t>
      </w:r>
      <w:r w:rsidR="00C7525F" w:rsidRPr="000A4724">
        <w:rPr>
          <w:b/>
          <w:bCs/>
        </w:rPr>
        <w:t xml:space="preserve"> that the State party:</w:t>
      </w:r>
    </w:p>
    <w:p w14:paraId="01720234" w14:textId="7CB2222D" w:rsidR="00C7525F" w:rsidRPr="000A4724" w:rsidRDefault="00C7525F" w:rsidP="00EE45BF">
      <w:pPr>
        <w:pStyle w:val="SingleTxtG"/>
        <w:rPr>
          <w:b/>
          <w:bCs/>
        </w:rPr>
      </w:pPr>
      <w:r w:rsidRPr="000A4724">
        <w:rPr>
          <w:b/>
          <w:bCs/>
        </w:rPr>
        <w:tab/>
        <w:t>(a)</w:t>
      </w:r>
      <w:r w:rsidRPr="000A4724">
        <w:rPr>
          <w:b/>
          <w:bCs/>
        </w:rPr>
        <w:tab/>
        <w:t xml:space="preserve">Increase the </w:t>
      </w:r>
      <w:r w:rsidR="00C15B9D">
        <w:rPr>
          <w:b/>
          <w:bCs/>
        </w:rPr>
        <w:t xml:space="preserve">level of </w:t>
      </w:r>
      <w:r w:rsidRPr="000A4724">
        <w:rPr>
          <w:b/>
          <w:bCs/>
        </w:rPr>
        <w:t xml:space="preserve">budget allocated to the healthcare sector and ensure that </w:t>
      </w:r>
      <w:r w:rsidR="00FC1BEE">
        <w:rPr>
          <w:b/>
          <w:bCs/>
        </w:rPr>
        <w:t xml:space="preserve">it </w:t>
      </w:r>
      <w:r w:rsidRPr="000A4724">
        <w:rPr>
          <w:b/>
          <w:bCs/>
        </w:rPr>
        <w:t>is not affected by any austerity measures taken by the State party;</w:t>
      </w:r>
    </w:p>
    <w:p w14:paraId="04B9CCE7" w14:textId="3F3CA7F1" w:rsidR="00C7525F" w:rsidRPr="000A4724" w:rsidRDefault="00C7525F" w:rsidP="00EE45BF">
      <w:pPr>
        <w:pStyle w:val="SingleTxtG"/>
        <w:rPr>
          <w:b/>
          <w:bCs/>
        </w:rPr>
      </w:pPr>
      <w:r w:rsidRPr="000A4724">
        <w:rPr>
          <w:b/>
          <w:bCs/>
        </w:rPr>
        <w:tab/>
        <w:t>(b)</w:t>
      </w:r>
      <w:r w:rsidRPr="000A4724">
        <w:rPr>
          <w:b/>
          <w:bCs/>
        </w:rPr>
        <w:tab/>
        <w:t xml:space="preserve">Expand the scope and coverage of and improve quality of healthcare services provided </w:t>
      </w:r>
      <w:r w:rsidRPr="005244A7">
        <w:rPr>
          <w:b/>
          <w:bCs/>
        </w:rPr>
        <w:t>un</w:t>
      </w:r>
      <w:r w:rsidR="00B4039B">
        <w:rPr>
          <w:b/>
          <w:bCs/>
        </w:rPr>
        <w:t>der</w:t>
      </w:r>
      <w:r w:rsidRPr="000A4724">
        <w:rPr>
          <w:b/>
          <w:bCs/>
        </w:rPr>
        <w:t xml:space="preserve"> the health insurance</w:t>
      </w:r>
      <w:r w:rsidR="00B4039B">
        <w:rPr>
          <w:b/>
          <w:bCs/>
        </w:rPr>
        <w:t xml:space="preserve"> </w:t>
      </w:r>
      <w:r w:rsidRPr="000A4724">
        <w:rPr>
          <w:b/>
          <w:bCs/>
        </w:rPr>
        <w:t xml:space="preserve">with a view to </w:t>
      </w:r>
      <w:r w:rsidR="000A4724" w:rsidRPr="000A4724">
        <w:rPr>
          <w:b/>
          <w:bCs/>
        </w:rPr>
        <w:t>eliminating the socio-economic disparities in access to healthcare services;</w:t>
      </w:r>
    </w:p>
    <w:p w14:paraId="3E9130F7" w14:textId="79A024EF" w:rsidR="000A4724" w:rsidRPr="000A4724" w:rsidRDefault="000A4724" w:rsidP="00EE45BF">
      <w:pPr>
        <w:pStyle w:val="SingleTxtG"/>
        <w:rPr>
          <w:b/>
          <w:bCs/>
        </w:rPr>
      </w:pPr>
      <w:r w:rsidRPr="000A4724">
        <w:rPr>
          <w:b/>
          <w:bCs/>
        </w:rPr>
        <w:tab/>
        <w:t>(c)</w:t>
      </w:r>
      <w:r w:rsidRPr="000A4724">
        <w:rPr>
          <w:b/>
          <w:bCs/>
        </w:rPr>
        <w:tab/>
        <w:t>E</w:t>
      </w:r>
      <w:r w:rsidR="00C15B9D">
        <w:rPr>
          <w:b/>
          <w:bCs/>
        </w:rPr>
        <w:t xml:space="preserve">nsure that </w:t>
      </w:r>
      <w:r w:rsidRPr="000A4724">
        <w:rPr>
          <w:b/>
          <w:bCs/>
        </w:rPr>
        <w:t xml:space="preserve">the primary healthcare </w:t>
      </w:r>
      <w:r w:rsidR="00C15B9D">
        <w:rPr>
          <w:b/>
          <w:bCs/>
        </w:rPr>
        <w:t xml:space="preserve">is provided </w:t>
      </w:r>
      <w:r w:rsidRPr="000A4724">
        <w:rPr>
          <w:b/>
          <w:bCs/>
        </w:rPr>
        <w:t>to all persons living in the country.</w:t>
      </w:r>
    </w:p>
    <w:p w14:paraId="31C62BDB" w14:textId="77777777" w:rsidR="00EE45BF" w:rsidRPr="0031210A" w:rsidRDefault="00EE45BF" w:rsidP="00EE45BF">
      <w:pPr>
        <w:pStyle w:val="H23G"/>
      </w:pPr>
      <w:r>
        <w:tab/>
      </w:r>
      <w:r>
        <w:tab/>
        <w:t>Mental health</w:t>
      </w:r>
    </w:p>
    <w:p w14:paraId="1E337EA7" w14:textId="4491B8CA" w:rsidR="00114EEE" w:rsidRPr="00C5520D" w:rsidRDefault="00BF217F" w:rsidP="00442AD1">
      <w:pPr>
        <w:pStyle w:val="SingleTxtG"/>
        <w:numPr>
          <w:ilvl w:val="0"/>
          <w:numId w:val="32"/>
        </w:numPr>
        <w:tabs>
          <w:tab w:val="clear" w:pos="1701"/>
          <w:tab w:val="clear" w:pos="2268"/>
          <w:tab w:val="clear" w:pos="2835"/>
        </w:tabs>
        <w:ind w:left="1134" w:firstLine="0"/>
        <w:rPr>
          <w:bCs/>
        </w:rPr>
      </w:pPr>
      <w:r>
        <w:t xml:space="preserve">While noting </w:t>
      </w:r>
      <w:r w:rsidR="00C15B9D">
        <w:t xml:space="preserve">the on-going process for adopting </w:t>
      </w:r>
      <w:r>
        <w:t xml:space="preserve">a mental health bill, </w:t>
      </w:r>
      <w:r>
        <w:rPr>
          <w:bCs/>
        </w:rPr>
        <w:t>t</w:t>
      </w:r>
      <w:r w:rsidR="00EE45BF" w:rsidRPr="001E09B0">
        <w:rPr>
          <w:bCs/>
        </w:rPr>
        <w:t>he Committee</w:t>
      </w:r>
      <w:r>
        <w:rPr>
          <w:bCs/>
        </w:rPr>
        <w:t xml:space="preserve"> is concerned about the weak legal protection for persons with mental health conditions, </w:t>
      </w:r>
      <w:r w:rsidRPr="00C5520D">
        <w:rPr>
          <w:bCs/>
        </w:rPr>
        <w:t xml:space="preserve">particularly </w:t>
      </w:r>
      <w:r w:rsidR="00C15B9D">
        <w:rPr>
          <w:bCs/>
        </w:rPr>
        <w:t>in relation to</w:t>
      </w:r>
      <w:r w:rsidRPr="00C5520D">
        <w:rPr>
          <w:bCs/>
        </w:rPr>
        <w:t xml:space="preserve"> forced treatment</w:t>
      </w:r>
      <w:r w:rsidR="00C15B9D">
        <w:rPr>
          <w:bCs/>
        </w:rPr>
        <w:t>s</w:t>
      </w:r>
      <w:r w:rsidRPr="00C5520D">
        <w:rPr>
          <w:bCs/>
        </w:rPr>
        <w:t xml:space="preserve">. It is also concerned about the insufficient implementation of the national Mental Health Programme, particularly relating to </w:t>
      </w:r>
      <w:r w:rsidR="00C15B9D">
        <w:rPr>
          <w:bCs/>
        </w:rPr>
        <w:t xml:space="preserve">the </w:t>
      </w:r>
      <w:r w:rsidRPr="00C5520D">
        <w:rPr>
          <w:bCs/>
        </w:rPr>
        <w:t xml:space="preserve">deinstitutionalization </w:t>
      </w:r>
      <w:r w:rsidR="00C15B9D">
        <w:rPr>
          <w:bCs/>
        </w:rPr>
        <w:t xml:space="preserve">and </w:t>
      </w:r>
      <w:r w:rsidRPr="00C5520D">
        <w:rPr>
          <w:bCs/>
        </w:rPr>
        <w:t>the expansion of community-based mental health services</w:t>
      </w:r>
      <w:r w:rsidR="00FC1BEE">
        <w:rPr>
          <w:bCs/>
        </w:rPr>
        <w:t xml:space="preserve"> (</w:t>
      </w:r>
      <w:r w:rsidR="00731470">
        <w:rPr>
          <w:bCs/>
        </w:rPr>
        <w:t>A</w:t>
      </w:r>
      <w:r w:rsidR="00FC1BEE">
        <w:rPr>
          <w:bCs/>
        </w:rPr>
        <w:t>rt</w:t>
      </w:r>
      <w:r w:rsidR="00731470">
        <w:rPr>
          <w:bCs/>
        </w:rPr>
        <w:t>.</w:t>
      </w:r>
      <w:r w:rsidR="00FC1BEE">
        <w:rPr>
          <w:bCs/>
        </w:rPr>
        <w:t xml:space="preserve"> 12)</w:t>
      </w:r>
      <w:r w:rsidR="00B4039B">
        <w:rPr>
          <w:bCs/>
        </w:rPr>
        <w:t>.</w:t>
      </w:r>
      <w:r w:rsidR="00FC1BEE">
        <w:rPr>
          <w:bCs/>
        </w:rPr>
        <w:t xml:space="preserve"> </w:t>
      </w:r>
    </w:p>
    <w:p w14:paraId="2117CA1A" w14:textId="227D606E" w:rsidR="00D306FE" w:rsidRPr="00C5520D" w:rsidRDefault="00EE45BF" w:rsidP="00442AD1">
      <w:pPr>
        <w:pStyle w:val="SingleTxtG"/>
        <w:numPr>
          <w:ilvl w:val="0"/>
          <w:numId w:val="32"/>
        </w:numPr>
        <w:tabs>
          <w:tab w:val="clear" w:pos="1701"/>
          <w:tab w:val="clear" w:pos="2268"/>
          <w:tab w:val="clear" w:pos="2835"/>
        </w:tabs>
        <w:ind w:left="1134" w:firstLine="0"/>
        <w:rPr>
          <w:b/>
          <w:bCs/>
        </w:rPr>
      </w:pPr>
      <w:r w:rsidRPr="00C5520D">
        <w:rPr>
          <w:b/>
          <w:bCs/>
        </w:rPr>
        <w:t>The Committee recommends</w:t>
      </w:r>
      <w:r w:rsidR="000A4724" w:rsidRPr="00C5520D">
        <w:rPr>
          <w:b/>
          <w:bCs/>
        </w:rPr>
        <w:t xml:space="preserve"> that the State party</w:t>
      </w:r>
      <w:r w:rsidR="00D306FE" w:rsidRPr="00C5520D">
        <w:rPr>
          <w:b/>
          <w:bCs/>
        </w:rPr>
        <w:t>:</w:t>
      </w:r>
      <w:r w:rsidR="000A4724" w:rsidRPr="00C5520D">
        <w:rPr>
          <w:b/>
          <w:bCs/>
        </w:rPr>
        <w:t xml:space="preserve"> </w:t>
      </w:r>
    </w:p>
    <w:p w14:paraId="46E15CDC" w14:textId="1D104805" w:rsidR="00D306FE" w:rsidRPr="00C5520D" w:rsidRDefault="00D306FE" w:rsidP="00EE45BF">
      <w:pPr>
        <w:pStyle w:val="SingleTxtG"/>
        <w:rPr>
          <w:b/>
          <w:bCs/>
        </w:rPr>
      </w:pPr>
      <w:r w:rsidRPr="00C5520D">
        <w:rPr>
          <w:b/>
          <w:bCs/>
        </w:rPr>
        <w:tab/>
        <w:t>(a)</w:t>
      </w:r>
      <w:r w:rsidRPr="00C5520D">
        <w:rPr>
          <w:b/>
          <w:bCs/>
        </w:rPr>
        <w:tab/>
        <w:t>Expedite the adoption of a mental health law that is line with Article 12 of the Covenant and international human rights norms, including a safeguard for the right to consent of patients;</w:t>
      </w:r>
    </w:p>
    <w:p w14:paraId="38C5443A" w14:textId="14BCB759" w:rsidR="00EE45BF" w:rsidRPr="00C5520D" w:rsidRDefault="00D306FE" w:rsidP="00EE45BF">
      <w:pPr>
        <w:pStyle w:val="SingleTxtG"/>
        <w:rPr>
          <w:b/>
          <w:bCs/>
        </w:rPr>
      </w:pPr>
      <w:r w:rsidRPr="00C5520D">
        <w:rPr>
          <w:b/>
          <w:bCs/>
        </w:rPr>
        <w:tab/>
        <w:t>(b)</w:t>
      </w:r>
      <w:r w:rsidRPr="00C5520D">
        <w:rPr>
          <w:b/>
          <w:bCs/>
        </w:rPr>
        <w:tab/>
        <w:t xml:space="preserve">Take </w:t>
      </w:r>
      <w:r w:rsidR="00C15B9D">
        <w:rPr>
          <w:b/>
          <w:bCs/>
        </w:rPr>
        <w:t xml:space="preserve">efficient measures </w:t>
      </w:r>
      <w:r w:rsidRPr="00C5520D">
        <w:rPr>
          <w:b/>
          <w:bCs/>
        </w:rPr>
        <w:t>to deinstitutionalize persons with mental health conditions</w:t>
      </w:r>
      <w:r w:rsidR="00B4039B">
        <w:rPr>
          <w:b/>
          <w:bCs/>
        </w:rPr>
        <w:t xml:space="preserve"> and i</w:t>
      </w:r>
      <w:r w:rsidR="005149A6" w:rsidRPr="00C5520D">
        <w:rPr>
          <w:b/>
          <w:bCs/>
        </w:rPr>
        <w:t>mprove the availability, accessibility and quality of community-based mental health services, by investing in training medial professions and infrastructure and raising public awareness on mental health.</w:t>
      </w:r>
    </w:p>
    <w:p w14:paraId="429C758C" w14:textId="52332F56" w:rsidR="0072157E" w:rsidRPr="00C5520D" w:rsidRDefault="0072157E" w:rsidP="0072157E">
      <w:pPr>
        <w:pStyle w:val="H23G"/>
      </w:pPr>
      <w:r w:rsidRPr="00C5520D">
        <w:tab/>
      </w:r>
      <w:r w:rsidRPr="00C5520D">
        <w:tab/>
      </w:r>
      <w:r w:rsidR="00A618FD" w:rsidRPr="00C5520D">
        <w:t>Drug use</w:t>
      </w:r>
    </w:p>
    <w:p w14:paraId="07565D32" w14:textId="5A7F62E9" w:rsidR="0072157E" w:rsidRPr="00C5520D" w:rsidRDefault="0072157E" w:rsidP="00442AD1">
      <w:pPr>
        <w:pStyle w:val="SingleTxtG"/>
        <w:numPr>
          <w:ilvl w:val="0"/>
          <w:numId w:val="32"/>
        </w:numPr>
        <w:tabs>
          <w:tab w:val="clear" w:pos="1701"/>
          <w:tab w:val="clear" w:pos="2268"/>
          <w:tab w:val="clear" w:pos="2835"/>
        </w:tabs>
        <w:ind w:left="1134" w:firstLine="0"/>
        <w:rPr>
          <w:bCs/>
        </w:rPr>
      </w:pPr>
      <w:r w:rsidRPr="00C5520D">
        <w:rPr>
          <w:bCs/>
        </w:rPr>
        <w:t xml:space="preserve">The Committee </w:t>
      </w:r>
      <w:r w:rsidR="00A618FD" w:rsidRPr="00C5520D">
        <w:rPr>
          <w:bCs/>
        </w:rPr>
        <w:t xml:space="preserve">is concerned about the criminalization of the possession of small </w:t>
      </w:r>
      <w:r w:rsidR="00B4039B" w:rsidRPr="00C5520D">
        <w:rPr>
          <w:bCs/>
        </w:rPr>
        <w:t>qua</w:t>
      </w:r>
      <w:r w:rsidR="00B4039B">
        <w:rPr>
          <w:bCs/>
        </w:rPr>
        <w:t>n</w:t>
      </w:r>
      <w:r w:rsidR="00B4039B" w:rsidRPr="00C5520D">
        <w:rPr>
          <w:bCs/>
        </w:rPr>
        <w:t>tities</w:t>
      </w:r>
      <w:r w:rsidR="00A618FD" w:rsidRPr="00C5520D">
        <w:rPr>
          <w:bCs/>
        </w:rPr>
        <w:t xml:space="preserve"> of drugs, which has led to the incarceration and marginalization of drug users. It is also concerned about the limited availabili</w:t>
      </w:r>
      <w:r w:rsidR="00B4039B">
        <w:rPr>
          <w:bCs/>
        </w:rPr>
        <w:t>ty of harm-reduction programmes</w:t>
      </w:r>
      <w:r w:rsidR="00C77061">
        <w:rPr>
          <w:bCs/>
        </w:rPr>
        <w:t xml:space="preserve"> (</w:t>
      </w:r>
      <w:r w:rsidR="00731470">
        <w:rPr>
          <w:bCs/>
        </w:rPr>
        <w:t xml:space="preserve">Art. </w:t>
      </w:r>
      <w:r w:rsidR="00C77061">
        <w:rPr>
          <w:bCs/>
        </w:rPr>
        <w:t>12)</w:t>
      </w:r>
      <w:r w:rsidR="00B4039B">
        <w:rPr>
          <w:bCs/>
        </w:rPr>
        <w:t>.</w:t>
      </w:r>
      <w:r w:rsidR="00C77061">
        <w:rPr>
          <w:bCs/>
        </w:rPr>
        <w:t xml:space="preserve"> </w:t>
      </w:r>
    </w:p>
    <w:p w14:paraId="1741F8C5" w14:textId="299900A3" w:rsidR="0072157E" w:rsidRPr="00C5520D" w:rsidRDefault="0072157E" w:rsidP="00442AD1">
      <w:pPr>
        <w:pStyle w:val="SingleTxtG"/>
        <w:numPr>
          <w:ilvl w:val="0"/>
          <w:numId w:val="32"/>
        </w:numPr>
        <w:tabs>
          <w:tab w:val="clear" w:pos="1701"/>
          <w:tab w:val="clear" w:pos="2268"/>
          <w:tab w:val="clear" w:pos="2835"/>
        </w:tabs>
        <w:ind w:left="1134" w:firstLine="0"/>
        <w:rPr>
          <w:b/>
          <w:bCs/>
        </w:rPr>
      </w:pPr>
      <w:r w:rsidRPr="00C5520D">
        <w:rPr>
          <w:b/>
          <w:bCs/>
        </w:rPr>
        <w:t>The Committee recommends</w:t>
      </w:r>
      <w:r w:rsidR="00656E8D" w:rsidRPr="00C5520D">
        <w:rPr>
          <w:b/>
          <w:bCs/>
        </w:rPr>
        <w:t xml:space="preserve"> that the State party </w:t>
      </w:r>
      <w:r w:rsidR="00214156">
        <w:rPr>
          <w:b/>
          <w:bCs/>
        </w:rPr>
        <w:t xml:space="preserve">decriminalize </w:t>
      </w:r>
      <w:r w:rsidR="000E76A5" w:rsidRPr="00C5520D">
        <w:rPr>
          <w:b/>
          <w:bCs/>
        </w:rPr>
        <w:t>drug possessions</w:t>
      </w:r>
      <w:r w:rsidR="00656E8D" w:rsidRPr="00C5520D">
        <w:rPr>
          <w:b/>
          <w:bCs/>
        </w:rPr>
        <w:t xml:space="preserve"> for </w:t>
      </w:r>
      <w:r w:rsidR="00FC1BEE">
        <w:rPr>
          <w:b/>
          <w:bCs/>
        </w:rPr>
        <w:t xml:space="preserve">personal </w:t>
      </w:r>
      <w:r w:rsidR="00656E8D" w:rsidRPr="00C5520D">
        <w:rPr>
          <w:b/>
          <w:bCs/>
        </w:rPr>
        <w:t>consumption</w:t>
      </w:r>
      <w:r w:rsidR="00214156">
        <w:rPr>
          <w:b/>
          <w:bCs/>
        </w:rPr>
        <w:t xml:space="preserve"> and review its drug policy and legislation to bring them</w:t>
      </w:r>
      <w:r w:rsidR="00656E8D" w:rsidRPr="00C5520D">
        <w:rPr>
          <w:b/>
          <w:bCs/>
        </w:rPr>
        <w:t xml:space="preserve"> </w:t>
      </w:r>
      <w:r w:rsidR="00214156">
        <w:rPr>
          <w:b/>
          <w:bCs/>
        </w:rPr>
        <w:t>in line with</w:t>
      </w:r>
      <w:r w:rsidR="00656E8D" w:rsidRPr="00C5520D">
        <w:rPr>
          <w:b/>
          <w:bCs/>
        </w:rPr>
        <w:t xml:space="preserve"> international human rights norms and best practice. It also recommends that the State party </w:t>
      </w:r>
      <w:r w:rsidR="00214156">
        <w:rPr>
          <w:b/>
          <w:bCs/>
        </w:rPr>
        <w:t>improve</w:t>
      </w:r>
      <w:r w:rsidR="00656E8D" w:rsidRPr="00C5520D">
        <w:rPr>
          <w:b/>
          <w:bCs/>
        </w:rPr>
        <w:t xml:space="preserve"> the availability, accessibility and quality of harm reduction programmes and</w:t>
      </w:r>
      <w:r w:rsidR="00214156">
        <w:rPr>
          <w:b/>
          <w:bCs/>
        </w:rPr>
        <w:t xml:space="preserve"> provide</w:t>
      </w:r>
      <w:r w:rsidR="00656E8D" w:rsidRPr="00C5520D">
        <w:rPr>
          <w:b/>
          <w:bCs/>
        </w:rPr>
        <w:t xml:space="preserve"> specialized health-care services available to drug users.</w:t>
      </w:r>
    </w:p>
    <w:p w14:paraId="0A948677" w14:textId="4DD64B60" w:rsidR="00674ABD" w:rsidRDefault="00674ABD" w:rsidP="00674ABD">
      <w:pPr>
        <w:pStyle w:val="H23G"/>
      </w:pPr>
      <w:r>
        <w:tab/>
      </w:r>
      <w:r>
        <w:tab/>
        <w:t>Environment and climate change</w:t>
      </w:r>
    </w:p>
    <w:p w14:paraId="7EF73A00" w14:textId="60037998" w:rsidR="00674ABD" w:rsidRDefault="00900559" w:rsidP="00442AD1">
      <w:pPr>
        <w:pStyle w:val="SingleTxtG"/>
        <w:numPr>
          <w:ilvl w:val="0"/>
          <w:numId w:val="32"/>
        </w:numPr>
        <w:tabs>
          <w:tab w:val="clear" w:pos="1701"/>
          <w:tab w:val="clear" w:pos="2268"/>
          <w:tab w:val="clear" w:pos="2835"/>
        </w:tabs>
        <w:ind w:left="1134" w:firstLine="0"/>
        <w:rPr>
          <w:bCs/>
        </w:rPr>
      </w:pPr>
      <w:r w:rsidRPr="001E09B0" w:rsidDel="00FC1BEE">
        <w:rPr>
          <w:bCs/>
        </w:rPr>
        <w:t xml:space="preserve">The Committee </w:t>
      </w:r>
      <w:r w:rsidDel="00FC1BEE">
        <w:rPr>
          <w:bCs/>
        </w:rPr>
        <w:t xml:space="preserve">is concerned about the high level of air pollution mainly due to thermoelectric power plants. </w:t>
      </w:r>
      <w:r>
        <w:rPr>
          <w:bCs/>
        </w:rPr>
        <w:t xml:space="preserve">While noting the commitment of the State party to develop a green agenda, the Committee remains concerned that the plans and initiatives are not </w:t>
      </w:r>
      <w:r>
        <w:rPr>
          <w:bCs/>
        </w:rPr>
        <w:lastRenderedPageBreak/>
        <w:t>adequate to reduce the emission of greenhouse gases to meet its obligations under the Paris Agreement</w:t>
      </w:r>
      <w:r w:rsidR="005244A7">
        <w:rPr>
          <w:bCs/>
        </w:rPr>
        <w:t xml:space="preserve"> (Art.12).</w:t>
      </w:r>
    </w:p>
    <w:p w14:paraId="24AF1EBA" w14:textId="24E5D2D2" w:rsidR="00900559" w:rsidRPr="00514B1C" w:rsidRDefault="00900559" w:rsidP="00442AD1">
      <w:pPr>
        <w:pStyle w:val="SingleTxtG"/>
        <w:numPr>
          <w:ilvl w:val="0"/>
          <w:numId w:val="32"/>
        </w:numPr>
        <w:tabs>
          <w:tab w:val="clear" w:pos="1701"/>
          <w:tab w:val="clear" w:pos="2268"/>
          <w:tab w:val="clear" w:pos="2835"/>
        </w:tabs>
        <w:ind w:left="1134" w:firstLine="0"/>
        <w:rPr>
          <w:b/>
          <w:bCs/>
        </w:rPr>
      </w:pPr>
      <w:r w:rsidRPr="00514B1C">
        <w:rPr>
          <w:b/>
          <w:bCs/>
        </w:rPr>
        <w:t xml:space="preserve">The Committee recommends that the State party take </w:t>
      </w:r>
      <w:r>
        <w:rPr>
          <w:b/>
          <w:bCs/>
        </w:rPr>
        <w:t>effective measures</w:t>
      </w:r>
      <w:r w:rsidRPr="00514B1C">
        <w:rPr>
          <w:b/>
          <w:bCs/>
        </w:rPr>
        <w:t>, including in connection with its climate change</w:t>
      </w:r>
      <w:r>
        <w:rPr>
          <w:b/>
          <w:bCs/>
        </w:rPr>
        <w:t xml:space="preserve"> policy, to reduce air pollution</w:t>
      </w:r>
      <w:r w:rsidRPr="00514B1C">
        <w:rPr>
          <w:b/>
          <w:bCs/>
        </w:rPr>
        <w:t>. It also recommends that the State party enhance its efforts to reduce the emission of greenhouse gases with a view to meeting its obligations under the Paris Agreement and to</w:t>
      </w:r>
      <w:r>
        <w:rPr>
          <w:b/>
          <w:bCs/>
        </w:rPr>
        <w:t xml:space="preserve"> address,</w:t>
      </w:r>
      <w:r w:rsidRPr="00514B1C">
        <w:rPr>
          <w:b/>
          <w:bCs/>
        </w:rPr>
        <w:t xml:space="preserve"> </w:t>
      </w:r>
      <w:r>
        <w:rPr>
          <w:b/>
          <w:bCs/>
        </w:rPr>
        <w:t xml:space="preserve">within its adaptation framework, </w:t>
      </w:r>
      <w:r w:rsidRPr="00514B1C">
        <w:rPr>
          <w:b/>
          <w:bCs/>
        </w:rPr>
        <w:t xml:space="preserve">the adverse impacts of climate change on economic, social and cultural rights. </w:t>
      </w:r>
      <w:r>
        <w:rPr>
          <w:b/>
          <w:bCs/>
        </w:rPr>
        <w:t>It</w:t>
      </w:r>
      <w:r w:rsidRPr="00514B1C">
        <w:rPr>
          <w:b/>
          <w:bCs/>
        </w:rPr>
        <w:t xml:space="preserve"> refers the State party to its statement on climate change and the Covenant (E/C.12/2018/1), adopted on 8 October 2018</w:t>
      </w:r>
      <w:r>
        <w:rPr>
          <w:b/>
          <w:bCs/>
        </w:rPr>
        <w:t>.</w:t>
      </w:r>
    </w:p>
    <w:p w14:paraId="02D7474E" w14:textId="77777777" w:rsidR="004D0556" w:rsidRPr="0031210A" w:rsidRDefault="004D0556" w:rsidP="004D0556">
      <w:pPr>
        <w:pStyle w:val="H23G"/>
      </w:pPr>
      <w:r>
        <w:tab/>
      </w:r>
      <w:r>
        <w:tab/>
      </w:r>
      <w:r w:rsidRPr="0031210A">
        <w:t xml:space="preserve">Right to </w:t>
      </w:r>
      <w:r>
        <w:t>education</w:t>
      </w:r>
    </w:p>
    <w:p w14:paraId="17D733D6" w14:textId="12BECE5B" w:rsidR="004D0556" w:rsidRPr="00CD5C0F" w:rsidRDefault="004D0556" w:rsidP="00442AD1">
      <w:pPr>
        <w:pStyle w:val="SingleTxtG"/>
        <w:numPr>
          <w:ilvl w:val="0"/>
          <w:numId w:val="32"/>
        </w:numPr>
        <w:tabs>
          <w:tab w:val="clear" w:pos="1701"/>
          <w:tab w:val="clear" w:pos="2268"/>
          <w:tab w:val="clear" w:pos="2835"/>
        </w:tabs>
        <w:ind w:left="1134" w:firstLine="0"/>
        <w:rPr>
          <w:bCs/>
        </w:rPr>
      </w:pPr>
      <w:r w:rsidRPr="00CD5C0F">
        <w:rPr>
          <w:bCs/>
        </w:rPr>
        <w:t xml:space="preserve">The Committee </w:t>
      </w:r>
      <w:r w:rsidR="007A6744" w:rsidRPr="00CD5C0F">
        <w:rPr>
          <w:bCs/>
        </w:rPr>
        <w:t>is concerned about:</w:t>
      </w:r>
    </w:p>
    <w:p w14:paraId="01F22CAF" w14:textId="7B2F516C" w:rsidR="007A6744" w:rsidRPr="00CD5C0F" w:rsidRDefault="00CD5C0F" w:rsidP="004D0556">
      <w:pPr>
        <w:pStyle w:val="SingleTxtG"/>
        <w:rPr>
          <w:bCs/>
        </w:rPr>
      </w:pPr>
      <w:r w:rsidRPr="00CD5C0F">
        <w:rPr>
          <w:bCs/>
        </w:rPr>
        <w:tab/>
        <w:t>(a)</w:t>
      </w:r>
      <w:r w:rsidRPr="00CD5C0F">
        <w:rPr>
          <w:bCs/>
        </w:rPr>
        <w:tab/>
      </w:r>
      <w:r w:rsidR="007A6744" w:rsidRPr="00CD5C0F">
        <w:rPr>
          <w:bCs/>
        </w:rPr>
        <w:t>The disproportionately high dropout rates at the primary and secondary education</w:t>
      </w:r>
      <w:r w:rsidR="00726276" w:rsidRPr="00CD5C0F">
        <w:rPr>
          <w:bCs/>
        </w:rPr>
        <w:t xml:space="preserve"> </w:t>
      </w:r>
      <w:r w:rsidR="00FC1BEE">
        <w:rPr>
          <w:bCs/>
        </w:rPr>
        <w:t xml:space="preserve">levels </w:t>
      </w:r>
      <w:r w:rsidR="00726276" w:rsidRPr="00CD5C0F">
        <w:rPr>
          <w:bCs/>
        </w:rPr>
        <w:t>a</w:t>
      </w:r>
      <w:r w:rsidR="007C296B" w:rsidRPr="00CD5C0F">
        <w:rPr>
          <w:bCs/>
        </w:rPr>
        <w:t>s well as</w:t>
      </w:r>
      <w:r w:rsidR="00726276" w:rsidRPr="00CD5C0F">
        <w:rPr>
          <w:bCs/>
        </w:rPr>
        <w:t xml:space="preserve"> the low attendance rate</w:t>
      </w:r>
      <w:r w:rsidR="007C296B" w:rsidRPr="00CD5C0F">
        <w:rPr>
          <w:bCs/>
        </w:rPr>
        <w:t>s at the</w:t>
      </w:r>
      <w:r w:rsidR="00726276" w:rsidRPr="00CD5C0F">
        <w:rPr>
          <w:bCs/>
        </w:rPr>
        <w:t xml:space="preserve"> preschool </w:t>
      </w:r>
      <w:r w:rsidR="007C296B" w:rsidRPr="00CD5C0F">
        <w:rPr>
          <w:bCs/>
        </w:rPr>
        <w:t xml:space="preserve">and secondary </w:t>
      </w:r>
      <w:r w:rsidR="00726276" w:rsidRPr="00CD5C0F">
        <w:rPr>
          <w:bCs/>
        </w:rPr>
        <w:t xml:space="preserve">education </w:t>
      </w:r>
      <w:r w:rsidR="007C296B" w:rsidRPr="00CD5C0F">
        <w:rPr>
          <w:bCs/>
        </w:rPr>
        <w:t>among</w:t>
      </w:r>
      <w:r w:rsidR="00726276" w:rsidRPr="00CD5C0F">
        <w:rPr>
          <w:bCs/>
        </w:rPr>
        <w:t xml:space="preserve"> Roma children</w:t>
      </w:r>
      <w:r w:rsidRPr="00CD5C0F">
        <w:rPr>
          <w:bCs/>
        </w:rPr>
        <w:t>;</w:t>
      </w:r>
    </w:p>
    <w:p w14:paraId="62F57658" w14:textId="22C93007" w:rsidR="00726276" w:rsidRPr="00CD5C0F" w:rsidRDefault="00CD5C0F" w:rsidP="004D0556">
      <w:pPr>
        <w:pStyle w:val="SingleTxtG"/>
        <w:rPr>
          <w:bCs/>
        </w:rPr>
      </w:pPr>
      <w:r w:rsidRPr="00CD5C0F">
        <w:rPr>
          <w:bCs/>
        </w:rPr>
        <w:tab/>
        <w:t>(b)</w:t>
      </w:r>
      <w:r w:rsidRPr="00CD5C0F">
        <w:rPr>
          <w:bCs/>
        </w:rPr>
        <w:tab/>
        <w:t>T</w:t>
      </w:r>
      <w:r w:rsidR="000C466A" w:rsidRPr="00CD5C0F">
        <w:rPr>
          <w:bCs/>
        </w:rPr>
        <w:t>he continuing segregation of children with disabilities in special schools and classes</w:t>
      </w:r>
      <w:r w:rsidRPr="00CD5C0F">
        <w:rPr>
          <w:bCs/>
        </w:rPr>
        <w:t>, despite the progress achieved;</w:t>
      </w:r>
    </w:p>
    <w:p w14:paraId="6D938F42" w14:textId="6F166029" w:rsidR="000C466A" w:rsidRPr="00CD5C0F" w:rsidRDefault="00CD5C0F" w:rsidP="000C466A">
      <w:pPr>
        <w:pStyle w:val="SingleTxtG"/>
        <w:rPr>
          <w:bCs/>
        </w:rPr>
      </w:pPr>
      <w:r w:rsidRPr="00CD5C0F">
        <w:rPr>
          <w:bCs/>
        </w:rPr>
        <w:tab/>
        <w:t>(</w:t>
      </w:r>
      <w:r w:rsidR="009C7528">
        <w:rPr>
          <w:bCs/>
        </w:rPr>
        <w:t>c</w:t>
      </w:r>
      <w:r w:rsidRPr="00CD5C0F">
        <w:rPr>
          <w:bCs/>
        </w:rPr>
        <w:t>)</w:t>
      </w:r>
      <w:r w:rsidRPr="00CD5C0F">
        <w:rPr>
          <w:bCs/>
        </w:rPr>
        <w:tab/>
      </w:r>
      <w:r w:rsidR="000C466A" w:rsidRPr="00CD5C0F">
        <w:rPr>
          <w:bCs/>
        </w:rPr>
        <w:t>The disproportionate impact of the COVID-19 on disadvantaged and marginalized children in access to education</w:t>
      </w:r>
      <w:r w:rsidRPr="00CD5C0F">
        <w:rPr>
          <w:bCs/>
        </w:rPr>
        <w:t xml:space="preserve"> (Arts. 2(2), 13 and14).</w:t>
      </w:r>
    </w:p>
    <w:p w14:paraId="59C25DB2" w14:textId="139F98DD" w:rsidR="000C466A" w:rsidRPr="00A37E69" w:rsidRDefault="00CD5C0F" w:rsidP="00442AD1">
      <w:pPr>
        <w:pStyle w:val="SingleTxtG"/>
        <w:numPr>
          <w:ilvl w:val="0"/>
          <w:numId w:val="32"/>
        </w:numPr>
        <w:tabs>
          <w:tab w:val="clear" w:pos="1701"/>
          <w:tab w:val="clear" w:pos="2268"/>
          <w:tab w:val="clear" w:pos="2835"/>
        </w:tabs>
        <w:ind w:left="1134" w:firstLine="0"/>
        <w:rPr>
          <w:rFonts w:asciiTheme="majorBidi" w:hAnsiTheme="majorBidi" w:cstheme="majorBidi"/>
          <w:b/>
        </w:rPr>
      </w:pPr>
      <w:r w:rsidRPr="00A37E69">
        <w:rPr>
          <w:rFonts w:asciiTheme="majorBidi" w:hAnsiTheme="majorBidi" w:cstheme="majorBidi"/>
          <w:b/>
        </w:rPr>
        <w:t xml:space="preserve">The Committee recommends that </w:t>
      </w:r>
      <w:r w:rsidR="00E05561" w:rsidRPr="00A37E69">
        <w:rPr>
          <w:rFonts w:asciiTheme="majorBidi" w:hAnsiTheme="majorBidi" w:cstheme="majorBidi"/>
          <w:b/>
        </w:rPr>
        <w:t>the State party:</w:t>
      </w:r>
    </w:p>
    <w:p w14:paraId="01FAD717" w14:textId="275B745D" w:rsidR="002F46C0" w:rsidRPr="00A37E69" w:rsidRDefault="00E05561" w:rsidP="004D0556">
      <w:pPr>
        <w:pStyle w:val="SingleTxtG"/>
        <w:rPr>
          <w:rFonts w:asciiTheme="majorBidi" w:hAnsiTheme="majorBidi" w:cstheme="majorBidi"/>
          <w:b/>
        </w:rPr>
      </w:pPr>
      <w:r w:rsidRPr="00A37E69">
        <w:rPr>
          <w:rFonts w:asciiTheme="majorBidi" w:hAnsiTheme="majorBidi" w:cstheme="majorBidi"/>
          <w:b/>
        </w:rPr>
        <w:tab/>
        <w:t>(a)</w:t>
      </w:r>
      <w:r w:rsidRPr="00A37E69">
        <w:rPr>
          <w:rFonts w:asciiTheme="majorBidi" w:hAnsiTheme="majorBidi" w:cstheme="majorBidi"/>
          <w:b/>
        </w:rPr>
        <w:tab/>
      </w:r>
      <w:r w:rsidR="00A233BC">
        <w:rPr>
          <w:rFonts w:asciiTheme="majorBidi" w:hAnsiTheme="majorBidi" w:cstheme="majorBidi"/>
          <w:b/>
        </w:rPr>
        <w:t>Take measures to e</w:t>
      </w:r>
      <w:r w:rsidRPr="00A37E69">
        <w:rPr>
          <w:rFonts w:asciiTheme="majorBidi" w:hAnsiTheme="majorBidi" w:cstheme="majorBidi"/>
          <w:b/>
        </w:rPr>
        <w:t>nsure that all children</w:t>
      </w:r>
      <w:r w:rsidR="00B4039B">
        <w:rPr>
          <w:rFonts w:asciiTheme="majorBidi" w:hAnsiTheme="majorBidi" w:cstheme="majorBidi"/>
          <w:b/>
        </w:rPr>
        <w:t>, particularly Roma children,</w:t>
      </w:r>
      <w:r w:rsidRPr="00A37E69">
        <w:rPr>
          <w:rFonts w:asciiTheme="majorBidi" w:hAnsiTheme="majorBidi" w:cstheme="majorBidi"/>
          <w:b/>
        </w:rPr>
        <w:t xml:space="preserve"> complete the compulsory education by addressing the root causes that prevent them from </w:t>
      </w:r>
      <w:r w:rsidR="007F3640">
        <w:rPr>
          <w:rFonts w:asciiTheme="majorBidi" w:hAnsiTheme="majorBidi" w:cstheme="majorBidi"/>
          <w:b/>
        </w:rPr>
        <w:t>doing so</w:t>
      </w:r>
      <w:r w:rsidR="002F46C0" w:rsidRPr="00A37E69">
        <w:rPr>
          <w:rFonts w:asciiTheme="majorBidi" w:hAnsiTheme="majorBidi" w:cstheme="majorBidi"/>
          <w:b/>
        </w:rPr>
        <w:t>;</w:t>
      </w:r>
    </w:p>
    <w:p w14:paraId="15AC217F" w14:textId="430A4E62" w:rsidR="002F46C0" w:rsidRPr="00A37E69" w:rsidRDefault="002F46C0" w:rsidP="002F46C0">
      <w:pPr>
        <w:pStyle w:val="SingleTxtG"/>
        <w:rPr>
          <w:rFonts w:asciiTheme="majorBidi" w:hAnsiTheme="majorBidi" w:cstheme="majorBidi"/>
          <w:b/>
        </w:rPr>
      </w:pPr>
      <w:r w:rsidRPr="00A37E69">
        <w:rPr>
          <w:rFonts w:asciiTheme="majorBidi" w:hAnsiTheme="majorBidi" w:cstheme="majorBidi"/>
          <w:b/>
        </w:rPr>
        <w:tab/>
        <w:t>(b)</w:t>
      </w:r>
      <w:r w:rsidRPr="00A37E69">
        <w:rPr>
          <w:rFonts w:asciiTheme="majorBidi" w:hAnsiTheme="majorBidi" w:cstheme="majorBidi"/>
          <w:b/>
        </w:rPr>
        <w:tab/>
        <w:t>Continue to expand inclusive education opportunities to children with disabilities;</w:t>
      </w:r>
    </w:p>
    <w:p w14:paraId="115C1DCB" w14:textId="37F7CED5" w:rsidR="00A37E69" w:rsidRPr="00A37E69" w:rsidRDefault="00A37E69" w:rsidP="002F46C0">
      <w:pPr>
        <w:pStyle w:val="SingleTxtG"/>
        <w:rPr>
          <w:rFonts w:asciiTheme="majorBidi" w:hAnsiTheme="majorBidi" w:cstheme="majorBidi"/>
          <w:b/>
        </w:rPr>
      </w:pPr>
      <w:r w:rsidRPr="00A37E69">
        <w:rPr>
          <w:rFonts w:asciiTheme="majorBidi" w:hAnsiTheme="majorBidi" w:cstheme="majorBidi"/>
          <w:b/>
        </w:rPr>
        <w:tab/>
        <w:t>(</w:t>
      </w:r>
      <w:r w:rsidR="009C7528">
        <w:rPr>
          <w:rFonts w:asciiTheme="majorBidi" w:hAnsiTheme="majorBidi" w:cstheme="majorBidi"/>
          <w:b/>
        </w:rPr>
        <w:t>c</w:t>
      </w:r>
      <w:r w:rsidRPr="00A37E69">
        <w:rPr>
          <w:rFonts w:asciiTheme="majorBidi" w:hAnsiTheme="majorBidi" w:cstheme="majorBidi"/>
          <w:b/>
        </w:rPr>
        <w:t>)</w:t>
      </w:r>
      <w:r w:rsidRPr="00A37E69">
        <w:rPr>
          <w:rFonts w:asciiTheme="majorBidi" w:hAnsiTheme="majorBidi" w:cstheme="majorBidi"/>
          <w:b/>
        </w:rPr>
        <w:tab/>
        <w:t>Make up for the learning opportunities lost due to the pandemic, particularly by disadvantaged and marginalized children, and prevent further disruption of education.</w:t>
      </w:r>
    </w:p>
    <w:p w14:paraId="44F5ABDD" w14:textId="77777777" w:rsidR="004D0556" w:rsidRPr="0031210A" w:rsidRDefault="004D0556" w:rsidP="004D0556">
      <w:pPr>
        <w:pStyle w:val="H23G"/>
      </w:pPr>
      <w:r>
        <w:tab/>
      </w:r>
      <w:r>
        <w:tab/>
        <w:t>Cultural rights</w:t>
      </w:r>
    </w:p>
    <w:p w14:paraId="4ECF3E48" w14:textId="391C7748" w:rsidR="00434ECD" w:rsidRDefault="004D0556" w:rsidP="00442AD1">
      <w:pPr>
        <w:pStyle w:val="SingleTxtG"/>
        <w:numPr>
          <w:ilvl w:val="0"/>
          <w:numId w:val="32"/>
        </w:numPr>
        <w:tabs>
          <w:tab w:val="clear" w:pos="1701"/>
          <w:tab w:val="clear" w:pos="2268"/>
          <w:tab w:val="clear" w:pos="2835"/>
        </w:tabs>
        <w:ind w:left="1134" w:firstLine="0"/>
        <w:rPr>
          <w:bCs/>
        </w:rPr>
      </w:pPr>
      <w:r w:rsidRPr="001E09B0">
        <w:rPr>
          <w:bCs/>
        </w:rPr>
        <w:t xml:space="preserve">The Committee </w:t>
      </w:r>
      <w:r w:rsidR="00A37E69">
        <w:rPr>
          <w:bCs/>
        </w:rPr>
        <w:t>is concerned about</w:t>
      </w:r>
      <w:r w:rsidR="00434ECD">
        <w:rPr>
          <w:bCs/>
        </w:rPr>
        <w:t xml:space="preserve"> the </w:t>
      </w:r>
      <w:r w:rsidR="00A233BC">
        <w:rPr>
          <w:bCs/>
        </w:rPr>
        <w:t xml:space="preserve">lack of effective </w:t>
      </w:r>
      <w:r w:rsidR="00434ECD">
        <w:rPr>
          <w:bCs/>
        </w:rPr>
        <w:t xml:space="preserve">functioning of the National </w:t>
      </w:r>
      <w:r w:rsidR="00434ECD" w:rsidRPr="00442AD1">
        <w:t>Minority</w:t>
      </w:r>
      <w:r w:rsidR="00434ECD">
        <w:rPr>
          <w:bCs/>
        </w:rPr>
        <w:t xml:space="preserve"> Councils due to the lack of clear understanding of </w:t>
      </w:r>
      <w:r w:rsidR="00A233BC">
        <w:rPr>
          <w:bCs/>
        </w:rPr>
        <w:t xml:space="preserve">the </w:t>
      </w:r>
      <w:r w:rsidR="00434ECD">
        <w:rPr>
          <w:bCs/>
        </w:rPr>
        <w:t>mandate and powers as well as the insufficient capacity of the Councils</w:t>
      </w:r>
      <w:r w:rsidR="000E76A5">
        <w:rPr>
          <w:bCs/>
        </w:rPr>
        <w:t xml:space="preserve"> to carry out their mandate (Art. 15)</w:t>
      </w:r>
      <w:r w:rsidR="00434ECD">
        <w:rPr>
          <w:bCs/>
        </w:rPr>
        <w:t xml:space="preserve">. </w:t>
      </w:r>
    </w:p>
    <w:p w14:paraId="7E9ABC8B" w14:textId="33D5BB01" w:rsidR="004D0556" w:rsidRDefault="004D0556" w:rsidP="00442AD1">
      <w:pPr>
        <w:pStyle w:val="SingleTxtG"/>
        <w:numPr>
          <w:ilvl w:val="0"/>
          <w:numId w:val="32"/>
        </w:numPr>
        <w:tabs>
          <w:tab w:val="clear" w:pos="1701"/>
          <w:tab w:val="clear" w:pos="2268"/>
          <w:tab w:val="clear" w:pos="2835"/>
        </w:tabs>
        <w:ind w:left="1134" w:firstLine="0"/>
        <w:rPr>
          <w:b/>
          <w:bCs/>
        </w:rPr>
      </w:pPr>
      <w:r>
        <w:rPr>
          <w:b/>
          <w:bCs/>
        </w:rPr>
        <w:t>The Committee recommends</w:t>
      </w:r>
      <w:r w:rsidR="00AD018A">
        <w:rPr>
          <w:b/>
          <w:bCs/>
        </w:rPr>
        <w:t xml:space="preserve"> that the State party provide the members of the National Minority Councils with adequate training on the mandate and powers of the Councils</w:t>
      </w:r>
      <w:r w:rsidR="000E76A5">
        <w:rPr>
          <w:b/>
          <w:bCs/>
        </w:rPr>
        <w:t xml:space="preserve"> and </w:t>
      </w:r>
      <w:r w:rsidR="004E22C8">
        <w:rPr>
          <w:b/>
          <w:bCs/>
        </w:rPr>
        <w:t xml:space="preserve">provide the Councils with adequate </w:t>
      </w:r>
      <w:r w:rsidR="000E76A5">
        <w:rPr>
          <w:b/>
          <w:bCs/>
        </w:rPr>
        <w:t xml:space="preserve">financial, administrative and technical </w:t>
      </w:r>
      <w:r w:rsidR="00A233BC">
        <w:rPr>
          <w:b/>
          <w:bCs/>
        </w:rPr>
        <w:t xml:space="preserve">resources </w:t>
      </w:r>
      <w:r w:rsidR="004E22C8">
        <w:rPr>
          <w:b/>
          <w:bCs/>
        </w:rPr>
        <w:t>for their effective functioning</w:t>
      </w:r>
      <w:r w:rsidR="000E76A5">
        <w:rPr>
          <w:b/>
          <w:bCs/>
        </w:rPr>
        <w:t>.</w:t>
      </w:r>
    </w:p>
    <w:p w14:paraId="11402B31" w14:textId="77777777" w:rsidR="001E09B0" w:rsidRDefault="001E09B0" w:rsidP="001E09B0">
      <w:pPr>
        <w:pStyle w:val="H1G"/>
      </w:pPr>
      <w:r>
        <w:tab/>
        <w:t>D.</w:t>
      </w:r>
      <w:r>
        <w:tab/>
        <w:t>Other recommendations</w:t>
      </w:r>
    </w:p>
    <w:p w14:paraId="65C5B2AB" w14:textId="0080B45E" w:rsidR="001E09B0" w:rsidRPr="001E09B0" w:rsidRDefault="001E09B0" w:rsidP="00442AD1">
      <w:pPr>
        <w:pStyle w:val="SingleTxtG"/>
        <w:numPr>
          <w:ilvl w:val="0"/>
          <w:numId w:val="32"/>
        </w:numPr>
        <w:tabs>
          <w:tab w:val="clear" w:pos="1701"/>
          <w:tab w:val="clear" w:pos="2268"/>
          <w:tab w:val="clear" w:pos="2835"/>
        </w:tabs>
        <w:ind w:left="1134" w:firstLine="0"/>
        <w:rPr>
          <w:b/>
          <w:bCs/>
        </w:rPr>
      </w:pPr>
      <w:r w:rsidRPr="001E09B0">
        <w:rPr>
          <w:b/>
          <w:bCs/>
        </w:rPr>
        <w:t xml:space="preserve">The Committee recommends that the State party consider ratifying the </w:t>
      </w:r>
      <w:r w:rsidR="00D32D99">
        <w:rPr>
          <w:b/>
          <w:bCs/>
        </w:rPr>
        <w:t>International Convention on the Protection of the Rights of All Migrant Workers and Members of Their Families</w:t>
      </w:r>
      <w:r w:rsidRPr="001E09B0">
        <w:rPr>
          <w:b/>
          <w:bCs/>
        </w:rPr>
        <w:t xml:space="preserve">. </w:t>
      </w:r>
    </w:p>
    <w:p w14:paraId="6C6428FA" w14:textId="73C387ED" w:rsidR="001E09B0" w:rsidRPr="001E09B0" w:rsidRDefault="001E09B0" w:rsidP="00442AD1">
      <w:pPr>
        <w:pStyle w:val="SingleTxtG"/>
        <w:numPr>
          <w:ilvl w:val="0"/>
          <w:numId w:val="32"/>
        </w:numPr>
        <w:tabs>
          <w:tab w:val="clear" w:pos="1701"/>
          <w:tab w:val="clear" w:pos="2268"/>
          <w:tab w:val="clear" w:pos="2835"/>
        </w:tabs>
        <w:ind w:left="1134" w:firstLine="0"/>
        <w:rPr>
          <w:b/>
          <w:bCs/>
        </w:rPr>
      </w:pPr>
      <w:r w:rsidRPr="001E09B0">
        <w:rPr>
          <w:b/>
          <w:bCs/>
        </w:rPr>
        <w:t xml:space="preserve">The Committee recommends that the State party take fully into account its obligations under the Covenant and ensure the full enjoyment of the rights enshrined therein in the implementation of the 2030 Agenda for Sustainable Development at the national level, including in the recovery from the COVID-19 pandemic. Achievement of the Sustainable Development Goals would be significantly facilitated by the State party establishing independent mechanisms to monitor progress and by treating beneficiaries of public programmes as rights holders who can claim entitlements. Moreover, the Committee recommends that the State party support the global commitment of the decade of action to achieve the Sustainable Development Goals. </w:t>
      </w:r>
      <w:r w:rsidRPr="001E09B0">
        <w:rPr>
          <w:b/>
          <w:bCs/>
        </w:rPr>
        <w:lastRenderedPageBreak/>
        <w:t>Implementing the Goals on the basis of the principles of participation, accountability and non-discrimination would ensure that no one is left behind. In this regard, the Committee draws the State party’s attention to its statement on the pledge to leave no one behind.</w:t>
      </w:r>
    </w:p>
    <w:p w14:paraId="5984FD5F" w14:textId="34B2A26F" w:rsidR="001E09B0" w:rsidRPr="001E09B0" w:rsidRDefault="001E09B0" w:rsidP="00442AD1">
      <w:pPr>
        <w:pStyle w:val="SingleTxtG"/>
        <w:numPr>
          <w:ilvl w:val="0"/>
          <w:numId w:val="32"/>
        </w:numPr>
        <w:tabs>
          <w:tab w:val="clear" w:pos="1701"/>
          <w:tab w:val="clear" w:pos="2268"/>
          <w:tab w:val="clear" w:pos="2835"/>
        </w:tabs>
        <w:ind w:left="1134" w:firstLine="0"/>
        <w:rPr>
          <w:b/>
          <w:bCs/>
        </w:rPr>
      </w:pPr>
      <w:r w:rsidRPr="001E09B0">
        <w:rPr>
          <w:b/>
          <w:bCs/>
        </w:rPr>
        <w:t xml:space="preserve">The Committee requests that the State party disseminate the present concluding observations widely at all levels of society, including at the national and municipal levels, in particular among parliamentarians, public officials and judicial authorities, and that it inform the Committee in its next periodic report about the steps taken to implement them. The Committee encourages the State party to engage with </w:t>
      </w:r>
      <w:r w:rsidR="004E22C8">
        <w:rPr>
          <w:b/>
          <w:bCs/>
        </w:rPr>
        <w:t xml:space="preserve">the Protector of Citizens, </w:t>
      </w:r>
      <w:r w:rsidRPr="001E09B0">
        <w:rPr>
          <w:b/>
          <w:bCs/>
        </w:rPr>
        <w:t xml:space="preserve">non-governmental organizations and other members of civil society in the follow-up to the present concluding observations and in the process of consultation at the national level prior to the submission of its next periodic report.  </w:t>
      </w:r>
    </w:p>
    <w:p w14:paraId="5DF91DC5" w14:textId="0E919AF3" w:rsidR="001E09B0" w:rsidRPr="00D3491B" w:rsidRDefault="001E09B0" w:rsidP="00442AD1">
      <w:pPr>
        <w:pStyle w:val="SingleTxtG"/>
        <w:numPr>
          <w:ilvl w:val="0"/>
          <w:numId w:val="32"/>
        </w:numPr>
        <w:tabs>
          <w:tab w:val="clear" w:pos="1701"/>
          <w:tab w:val="clear" w:pos="2268"/>
          <w:tab w:val="clear" w:pos="2835"/>
        </w:tabs>
        <w:ind w:left="1134" w:firstLine="0"/>
        <w:rPr>
          <w:b/>
          <w:bCs/>
        </w:rPr>
      </w:pPr>
      <w:r w:rsidRPr="001E09B0">
        <w:rPr>
          <w:b/>
          <w:bCs/>
        </w:rPr>
        <w:t xml:space="preserve">In accordance with the procedure on follow-up to concluding observations adopted by the Committee, the State party is requested to provide, within 24 months of the adoption of the present </w:t>
      </w:r>
      <w:r w:rsidRPr="00D3491B">
        <w:rPr>
          <w:b/>
          <w:bCs/>
        </w:rPr>
        <w:t xml:space="preserve">concluding observations, information on the implementation of the recommendations contained in paragraphs </w:t>
      </w:r>
      <w:r w:rsidR="00F84E2C" w:rsidRPr="00D3491B">
        <w:rPr>
          <w:b/>
          <w:bCs/>
        </w:rPr>
        <w:t>17(b)</w:t>
      </w:r>
      <w:r w:rsidR="005B7311" w:rsidRPr="00D3491B">
        <w:rPr>
          <w:b/>
          <w:bCs/>
        </w:rPr>
        <w:t xml:space="preserve"> (</w:t>
      </w:r>
      <w:r w:rsidR="00B36B03" w:rsidRPr="00D3491B">
        <w:rPr>
          <w:b/>
          <w:bCs/>
        </w:rPr>
        <w:t>human rights defenders</w:t>
      </w:r>
      <w:r w:rsidR="005B7311" w:rsidRPr="00D3491B">
        <w:rPr>
          <w:b/>
          <w:bCs/>
        </w:rPr>
        <w:t xml:space="preserve">), </w:t>
      </w:r>
      <w:r w:rsidR="00F84E2C" w:rsidRPr="00D3491B">
        <w:rPr>
          <w:b/>
          <w:bCs/>
        </w:rPr>
        <w:t>19(a)</w:t>
      </w:r>
      <w:r w:rsidR="00152C95" w:rsidRPr="00D3491B">
        <w:rPr>
          <w:b/>
          <w:bCs/>
        </w:rPr>
        <w:t xml:space="preserve"> (</w:t>
      </w:r>
      <w:r w:rsidR="00B36B03" w:rsidRPr="00D3491B">
        <w:rPr>
          <w:b/>
          <w:bCs/>
        </w:rPr>
        <w:t>a national action plan on business and human rights</w:t>
      </w:r>
      <w:r w:rsidR="00152C95" w:rsidRPr="00D3491B">
        <w:rPr>
          <w:b/>
          <w:bCs/>
        </w:rPr>
        <w:t xml:space="preserve">) and </w:t>
      </w:r>
      <w:r w:rsidR="00F84E2C" w:rsidRPr="00D3491B">
        <w:rPr>
          <w:b/>
          <w:bCs/>
        </w:rPr>
        <w:t>31(b) and (c)</w:t>
      </w:r>
      <w:r w:rsidR="00B36B03" w:rsidRPr="00D3491B" w:rsidDel="00F84E2C">
        <w:rPr>
          <w:b/>
          <w:bCs/>
        </w:rPr>
        <w:t xml:space="preserve"> </w:t>
      </w:r>
      <w:r w:rsidR="00B36B03" w:rsidRPr="00D3491B">
        <w:rPr>
          <w:b/>
          <w:bCs/>
        </w:rPr>
        <w:t xml:space="preserve">(identity documents) </w:t>
      </w:r>
      <w:r w:rsidRPr="00D3491B">
        <w:rPr>
          <w:b/>
          <w:bCs/>
        </w:rPr>
        <w:t xml:space="preserve">above. </w:t>
      </w:r>
    </w:p>
    <w:p w14:paraId="38F7FCDD" w14:textId="38385168" w:rsidR="001E09B0" w:rsidRDefault="001E09B0" w:rsidP="00442AD1">
      <w:pPr>
        <w:pStyle w:val="SingleTxtG"/>
        <w:numPr>
          <w:ilvl w:val="0"/>
          <w:numId w:val="32"/>
        </w:numPr>
        <w:tabs>
          <w:tab w:val="clear" w:pos="1701"/>
          <w:tab w:val="clear" w:pos="2268"/>
          <w:tab w:val="clear" w:pos="2835"/>
        </w:tabs>
        <w:ind w:left="1134" w:firstLine="0"/>
        <w:rPr>
          <w:b/>
          <w:bCs/>
        </w:rPr>
      </w:pPr>
      <w:r w:rsidRPr="001E09B0">
        <w:rPr>
          <w:b/>
          <w:bCs/>
        </w:rPr>
        <w:t>The Committee requests the State party to submit its next periodic report in accordance with article 16 of the Covenant by 31 March 2027, unless otherwise notified as a result of a change in the review cycle. In accordance with General Assembly resolution 68/268, the word limit for the report is 21,200 words.</w:t>
      </w:r>
    </w:p>
    <w:p w14:paraId="6397D80C" w14:textId="2A5FE5ED" w:rsidR="008870BD" w:rsidRPr="008870BD" w:rsidRDefault="008870BD" w:rsidP="008870BD">
      <w:pPr>
        <w:pStyle w:val="SingleTxtG"/>
        <w:tabs>
          <w:tab w:val="clear" w:pos="1701"/>
          <w:tab w:val="clear" w:pos="2268"/>
          <w:tab w:val="clear" w:pos="2835"/>
        </w:tabs>
        <w:spacing w:before="240" w:after="0"/>
        <w:jc w:val="center"/>
        <w:rPr>
          <w:b/>
          <w:bCs/>
          <w:u w:val="single"/>
        </w:rPr>
      </w:pPr>
      <w:r>
        <w:rPr>
          <w:b/>
          <w:bCs/>
          <w:u w:val="single"/>
        </w:rPr>
        <w:tab/>
      </w:r>
      <w:r>
        <w:rPr>
          <w:b/>
          <w:bCs/>
          <w:u w:val="single"/>
        </w:rPr>
        <w:tab/>
      </w:r>
      <w:r>
        <w:rPr>
          <w:b/>
          <w:bCs/>
          <w:u w:val="single"/>
        </w:rPr>
        <w:tab/>
      </w:r>
    </w:p>
    <w:sectPr w:rsidR="008870BD" w:rsidRPr="008870B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4A19D" w14:textId="77777777" w:rsidR="000B0BC9" w:rsidRDefault="000B0BC9">
      <w:pPr>
        <w:spacing w:line="240" w:lineRule="auto"/>
      </w:pPr>
      <w:r>
        <w:separator/>
      </w:r>
    </w:p>
  </w:endnote>
  <w:endnote w:type="continuationSeparator" w:id="0">
    <w:p w14:paraId="4954C2C0" w14:textId="77777777" w:rsidR="000B0BC9" w:rsidRDefault="000B0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06D0F" w14:textId="7D65CCDA" w:rsidR="00CD575C" w:rsidRDefault="00CD575C">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8A4053">
      <w:rPr>
        <w:b/>
        <w:noProof/>
        <w:sz w:val="18"/>
      </w:rPr>
      <w:t>2</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CB7CD" w14:textId="61D97FDE" w:rsidR="00CD575C" w:rsidRDefault="00CD575C">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sidR="008A4053">
      <w:rPr>
        <w:b/>
        <w:noProof/>
        <w:sz w:val="18"/>
      </w:rPr>
      <w:t>13</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41688" w14:textId="77777777" w:rsidR="00CD575C" w:rsidRDefault="00CD575C">
    <w:pPr>
      <w:pStyle w:val="Footer"/>
      <w:spacing w:before="120"/>
      <w:rPr>
        <w:noProof/>
        <w:sz w:val="20"/>
        <w:lang w:eastAsia="fr-FR"/>
      </w:rPr>
    </w:pPr>
    <w:r>
      <w:rPr>
        <w:noProof/>
        <w:sz w:val="20"/>
        <w:lang w:eastAsia="en-GB"/>
      </w:rPr>
      <w:drawing>
        <wp:anchor distT="0" distB="0" distL="114300" distR="114300" simplePos="0" relativeHeight="251658240" behindDoc="0" locked="1" layoutInCell="1" allowOverlap="1" wp14:anchorId="2B4CAD3A" wp14:editId="379E63D6">
          <wp:simplePos x="0" y="0"/>
          <wp:positionH relativeFrom="column">
            <wp:posOffset>5868670</wp:posOffset>
          </wp:positionH>
          <wp:positionV relativeFrom="paragraph">
            <wp:posOffset>9387840</wp:posOffset>
          </wp:positionV>
          <wp:extent cx="930275" cy="230505"/>
          <wp:effectExtent l="0" t="0" r="3175" b="0"/>
          <wp:wrapNone/>
          <wp:docPr id="2"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w:t>
    </w:r>
  </w:p>
  <w:tbl>
    <w:tblPr>
      <w:tblStyle w:val="TableGrid"/>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CD575C" w14:paraId="5076DF22" w14:textId="77777777">
      <w:tc>
        <w:tcPr>
          <w:tcW w:w="1848" w:type="dxa"/>
          <w:vAlign w:val="bottom"/>
        </w:tcPr>
        <w:p w14:paraId="56C144DC" w14:textId="77777777" w:rsidR="00CD575C" w:rsidRDefault="00CD575C">
          <w:pPr>
            <w:pStyle w:val="Footer"/>
            <w:spacing w:before="120" w:after="120"/>
            <w:jc w:val="right"/>
          </w:pPr>
          <w:r>
            <w:rPr>
              <w:noProof/>
              <w:sz w:val="20"/>
              <w:lang w:eastAsia="en-GB"/>
            </w:rPr>
            <w:drawing>
              <wp:inline distT="0" distB="0" distL="0" distR="0" wp14:anchorId="5268D372" wp14:editId="1A8499ED">
                <wp:extent cx="931545" cy="232410"/>
                <wp:effectExtent l="0" t="0" r="1905" b="0"/>
                <wp:docPr id="3"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4F7B83AA" w14:textId="77777777" w:rsidR="00CD575C" w:rsidRDefault="00CD575C">
          <w:pPr>
            <w:pStyle w:val="Footer"/>
            <w:jc w:val="right"/>
          </w:pPr>
        </w:p>
      </w:tc>
    </w:tr>
  </w:tbl>
  <w:p w14:paraId="7B5AF50A" w14:textId="77777777" w:rsidR="00CD575C" w:rsidRDefault="00CD5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61FBB" w14:textId="77777777" w:rsidR="000B0BC9" w:rsidRDefault="000B0BC9">
      <w:pPr>
        <w:pStyle w:val="Footer"/>
        <w:tabs>
          <w:tab w:val="right" w:pos="2155"/>
        </w:tabs>
        <w:spacing w:after="80" w:line="240" w:lineRule="atLeast"/>
        <w:ind w:left="680"/>
        <w:rPr>
          <w:u w:val="single"/>
        </w:rPr>
      </w:pPr>
      <w:r>
        <w:rPr>
          <w:u w:val="single"/>
        </w:rPr>
        <w:tab/>
      </w:r>
    </w:p>
  </w:footnote>
  <w:footnote w:type="continuationSeparator" w:id="0">
    <w:p w14:paraId="38C33D2A" w14:textId="77777777" w:rsidR="000B0BC9" w:rsidRDefault="000B0BC9">
      <w:pPr>
        <w:pStyle w:val="Footer"/>
        <w:tabs>
          <w:tab w:val="right" w:pos="2155"/>
        </w:tabs>
        <w:spacing w:after="80" w:line="240" w:lineRule="atLeast"/>
        <w:ind w:left="680"/>
        <w:rPr>
          <w:u w:val="single"/>
        </w:rPr>
      </w:pPr>
      <w:r>
        <w:rPr>
          <w:u w:val="single"/>
        </w:rPr>
        <w:tab/>
      </w:r>
    </w:p>
  </w:footnote>
  <w:footnote w:type="continuationNotice" w:id="1">
    <w:p w14:paraId="7E98009E" w14:textId="77777777" w:rsidR="000B0BC9" w:rsidRDefault="000B0BC9">
      <w:pPr>
        <w:rPr>
          <w:sz w:val="2"/>
          <w:szCs w:val="2"/>
        </w:rPr>
      </w:pPr>
    </w:p>
  </w:footnote>
  <w:footnote w:id="2">
    <w:p w14:paraId="5904D628" w14:textId="77777777" w:rsidR="00D3491B" w:rsidRPr="00C96719" w:rsidRDefault="00D3491B" w:rsidP="00D3491B">
      <w:pPr>
        <w:pStyle w:val="FootnoteText"/>
        <w:rPr>
          <w:lang w:val="en-US"/>
        </w:rPr>
      </w:pPr>
      <w:r>
        <w:rPr>
          <w:rStyle w:val="FootnoteReference"/>
        </w:rPr>
        <w:tab/>
      </w:r>
      <w:r w:rsidRPr="00C96719">
        <w:rPr>
          <w:rStyle w:val="FootnoteReference"/>
          <w:sz w:val="20"/>
        </w:rPr>
        <w:t>*</w:t>
      </w:r>
      <w:r>
        <w:rPr>
          <w:rStyle w:val="FootnoteReference"/>
          <w:sz w:val="20"/>
        </w:rPr>
        <w:tab/>
      </w:r>
      <w:r w:rsidRPr="00F2130F">
        <w:t xml:space="preserve">Adopted by the Committee at its </w:t>
      </w:r>
      <w:r w:rsidRPr="00937A25">
        <w:t>seventy</w:t>
      </w:r>
      <w:r>
        <w:t xml:space="preserve">-first </w:t>
      </w:r>
      <w:r w:rsidRPr="00F2130F">
        <w:t>session (</w:t>
      </w:r>
      <w:r>
        <w:t>14 February – 4 March 2022</w:t>
      </w:r>
      <w:r w:rsidRPr="00F2130F">
        <w:t>).</w:t>
      </w:r>
    </w:p>
  </w:footnote>
  <w:footnote w:id="3">
    <w:p w14:paraId="05D5C78E" w14:textId="0881EBC4" w:rsidR="00CD575C" w:rsidRPr="005B7311" w:rsidRDefault="00CD575C" w:rsidP="009B1D66">
      <w:pPr>
        <w:pStyle w:val="FootnoteText"/>
        <w:rPr>
          <w:lang w:val="es-MX"/>
        </w:rPr>
      </w:pPr>
      <w:r>
        <w:tab/>
      </w:r>
      <w:r>
        <w:rPr>
          <w:rStyle w:val="FootnoteReference"/>
        </w:rPr>
        <w:footnoteRef/>
      </w:r>
      <w:r w:rsidRPr="005B7311">
        <w:rPr>
          <w:lang w:val="es-MX"/>
        </w:rPr>
        <w:tab/>
      </w:r>
      <w:hyperlink r:id="rId1" w:history="1">
        <w:r w:rsidRPr="007C192E">
          <w:rPr>
            <w:rStyle w:val="Hyperlink"/>
            <w:lang w:val="es-MX"/>
          </w:rPr>
          <w:t>E/C.12/SBR/3</w:t>
        </w:r>
      </w:hyperlink>
      <w:r w:rsidRPr="005B7311">
        <w:rPr>
          <w:lang w:val="es-MX"/>
        </w:rPr>
        <w:t>.</w:t>
      </w:r>
    </w:p>
  </w:footnote>
  <w:footnote w:id="4">
    <w:p w14:paraId="75554CF4" w14:textId="7C0B91C0" w:rsidR="00CD575C" w:rsidRPr="005B7311" w:rsidRDefault="00CD575C" w:rsidP="009B1D66">
      <w:pPr>
        <w:pStyle w:val="FootnoteText"/>
        <w:rPr>
          <w:lang w:val="es-MX"/>
        </w:rPr>
      </w:pPr>
      <w:r w:rsidRPr="005B7311">
        <w:rPr>
          <w:lang w:val="es-MX"/>
        </w:rPr>
        <w:tab/>
      </w:r>
      <w:r>
        <w:rPr>
          <w:rStyle w:val="FootnoteReference"/>
        </w:rPr>
        <w:footnoteRef/>
      </w:r>
      <w:r w:rsidRPr="005B7311">
        <w:rPr>
          <w:lang w:val="es-MX"/>
        </w:rPr>
        <w:tab/>
      </w:r>
      <w:proofErr w:type="spellStart"/>
      <w:r w:rsidRPr="005B7311">
        <w:rPr>
          <w:lang w:val="es-MX"/>
        </w:rPr>
        <w:t>See</w:t>
      </w:r>
      <w:proofErr w:type="spellEnd"/>
      <w:r w:rsidRPr="005B7311">
        <w:rPr>
          <w:lang w:val="es-MX"/>
        </w:rPr>
        <w:t xml:space="preserve"> </w:t>
      </w:r>
      <w:hyperlink r:id="rId2" w:history="1">
        <w:r w:rsidRPr="008A4053">
          <w:rPr>
            <w:rStyle w:val="Hyperlink"/>
            <w:lang w:val="es-MX"/>
          </w:rPr>
          <w:t>E/C.12/2022/SR.12</w:t>
        </w:r>
      </w:hyperlink>
      <w:r w:rsidRPr="005B7311">
        <w:rPr>
          <w:lang w:val="es-MX"/>
        </w:rPr>
        <w:t xml:space="preserve">, </w:t>
      </w:r>
      <w:hyperlink r:id="rId3" w:history="1">
        <w:r w:rsidRPr="008A4053">
          <w:rPr>
            <w:rStyle w:val="Hyperlink"/>
            <w:lang w:val="es-MX"/>
          </w:rPr>
          <w:t>E/C.12/2022/SR.14</w:t>
        </w:r>
      </w:hyperlink>
      <w:r w:rsidRPr="005B7311">
        <w:rPr>
          <w:lang w:val="es-MX"/>
        </w:rPr>
        <w:t xml:space="preserve"> and </w:t>
      </w:r>
      <w:hyperlink r:id="rId4" w:history="1">
        <w:r w:rsidRPr="008A4053">
          <w:rPr>
            <w:rStyle w:val="Hyperlink"/>
            <w:lang w:val="es-MX"/>
          </w:rPr>
          <w:t>E/C.12/2022/SR.16</w:t>
        </w:r>
      </w:hyperlink>
      <w:bookmarkStart w:id="0" w:name="_GoBack"/>
      <w:bookmarkEnd w:id="0"/>
      <w:r w:rsidRPr="005B7311">
        <w:rPr>
          <w:lang w:val="es-MX"/>
        </w:rPr>
        <w:t>.</w:t>
      </w:r>
    </w:p>
  </w:footnote>
  <w:footnote w:id="5">
    <w:p w14:paraId="5932AD69" w14:textId="577F02CF" w:rsidR="00857F94" w:rsidRDefault="00857F94">
      <w:pPr>
        <w:pStyle w:val="FootnoteText"/>
      </w:pPr>
      <w:r>
        <w:tab/>
      </w:r>
      <w:r>
        <w:rPr>
          <w:rStyle w:val="FootnoteReference"/>
        </w:rPr>
        <w:footnoteRef/>
      </w:r>
      <w:r>
        <w:t xml:space="preserve"> </w:t>
      </w:r>
      <w:r>
        <w:tab/>
      </w:r>
      <w:hyperlink r:id="rId5" w:history="1">
        <w:r w:rsidRPr="007C192E">
          <w:rPr>
            <w:rStyle w:val="Hyperlink"/>
          </w:rPr>
          <w:t>E/C.12/SBR/RQ/3</w:t>
        </w:r>
      </w:hyperlink>
      <w:r w:rsidRPr="00857F94">
        <w:t>.</w:t>
      </w:r>
    </w:p>
  </w:footnote>
  <w:footnote w:id="6">
    <w:p w14:paraId="7AD80FE0" w14:textId="7F17A9F2" w:rsidR="00E76B2B" w:rsidRDefault="007C3AB8" w:rsidP="00E76B2B">
      <w:pPr>
        <w:pStyle w:val="FootnoteText"/>
      </w:pPr>
      <w:r w:rsidRPr="00857F94">
        <w:tab/>
      </w:r>
      <w:r w:rsidR="00E76B2B">
        <w:rPr>
          <w:rStyle w:val="FootnoteReference"/>
        </w:rPr>
        <w:footnoteRef/>
      </w:r>
      <w:r w:rsidR="00E76B2B">
        <w:t xml:space="preserve"> </w:t>
      </w:r>
      <w:r>
        <w:tab/>
      </w:r>
      <w:r w:rsidR="00E76B2B" w:rsidRPr="00161163">
        <w:rPr>
          <w:sz w:val="16"/>
          <w:szCs w:val="16"/>
        </w:rPr>
        <w:t xml:space="preserve">References to Kosovo shall be understood to be in the context of </w:t>
      </w:r>
      <w:bookmarkStart w:id="1" w:name="_Hlk7116218"/>
      <w:r w:rsidR="00E76B2B" w:rsidRPr="00161163">
        <w:rPr>
          <w:sz w:val="16"/>
          <w:szCs w:val="16"/>
        </w:rPr>
        <w:t xml:space="preserve">Security Council resolution </w:t>
      </w:r>
      <w:hyperlink r:id="rId6" w:history="1">
        <w:r w:rsidR="00E76B2B" w:rsidRPr="00161163">
          <w:rPr>
            <w:rStyle w:val="Hyperlink"/>
            <w:sz w:val="16"/>
            <w:szCs w:val="16"/>
          </w:rPr>
          <w:t>1244 (1999)</w:t>
        </w:r>
      </w:hyperlink>
      <w:r w:rsidR="00E76B2B" w:rsidRPr="00161163">
        <w:rPr>
          <w:sz w:val="16"/>
          <w:szCs w:val="16"/>
        </w:rPr>
        <w: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CC0C7" w14:textId="70AF47FD" w:rsidR="00CD575C" w:rsidRDefault="00D3491B">
    <w:pPr>
      <w:pStyle w:val="Header"/>
    </w:pPr>
    <w:r>
      <w:t>E/C.12/SRB/CO/</w:t>
    </w:r>
    <w:r w:rsidR="00CD575C">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5CBC9" w14:textId="2E108504" w:rsidR="00CD575C" w:rsidRDefault="00D3491B">
    <w:pPr>
      <w:pStyle w:val="Header"/>
      <w:jc w:val="right"/>
    </w:pPr>
    <w:r>
      <w:t>E/C.12/SRB/CO/</w:t>
    </w:r>
    <w:r w:rsidR="00CD575C">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24CA5" w14:textId="77777777" w:rsidR="00CD575C" w:rsidRDefault="00CD575C">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13D07D02">
      <w:start w:val="1"/>
      <w:numFmt w:val="decimal"/>
      <w:lvlText w:val="%1."/>
      <w:lvlJc w:val="left"/>
      <w:pPr>
        <w:tabs>
          <w:tab w:val="num" w:pos="0"/>
        </w:tabs>
        <w:ind w:left="1134" w:firstLine="0"/>
      </w:pPr>
      <w:rPr>
        <w:rFonts w:ascii="Times New Roman" w:hAnsi="Times New Roman" w:hint="default"/>
        <w:b w:val="0"/>
        <w:i w:val="0"/>
        <w:sz w:val="20"/>
      </w:rPr>
    </w:lvl>
    <w:lvl w:ilvl="1" w:tplc="52C6DC3C" w:tentative="1">
      <w:start w:val="1"/>
      <w:numFmt w:val="lowerLetter"/>
      <w:lvlText w:val="%2."/>
      <w:lvlJc w:val="left"/>
      <w:pPr>
        <w:tabs>
          <w:tab w:val="num" w:pos="1440"/>
        </w:tabs>
        <w:ind w:left="1440" w:hanging="360"/>
      </w:pPr>
    </w:lvl>
    <w:lvl w:ilvl="2" w:tplc="7CF68932" w:tentative="1">
      <w:start w:val="1"/>
      <w:numFmt w:val="lowerRoman"/>
      <w:lvlText w:val="%3."/>
      <w:lvlJc w:val="right"/>
      <w:pPr>
        <w:tabs>
          <w:tab w:val="num" w:pos="2160"/>
        </w:tabs>
        <w:ind w:left="2160" w:hanging="180"/>
      </w:pPr>
    </w:lvl>
    <w:lvl w:ilvl="3" w:tplc="CA104302" w:tentative="1">
      <w:start w:val="1"/>
      <w:numFmt w:val="decimal"/>
      <w:lvlText w:val="%4."/>
      <w:lvlJc w:val="left"/>
      <w:pPr>
        <w:tabs>
          <w:tab w:val="num" w:pos="2880"/>
        </w:tabs>
        <w:ind w:left="2880" w:hanging="360"/>
      </w:pPr>
    </w:lvl>
    <w:lvl w:ilvl="4" w:tplc="FB92D7FC" w:tentative="1">
      <w:start w:val="1"/>
      <w:numFmt w:val="lowerLetter"/>
      <w:lvlText w:val="%5."/>
      <w:lvlJc w:val="left"/>
      <w:pPr>
        <w:tabs>
          <w:tab w:val="num" w:pos="3600"/>
        </w:tabs>
        <w:ind w:left="3600" w:hanging="360"/>
      </w:pPr>
    </w:lvl>
    <w:lvl w:ilvl="5" w:tplc="6B94A4D4" w:tentative="1">
      <w:start w:val="1"/>
      <w:numFmt w:val="lowerRoman"/>
      <w:lvlText w:val="%6."/>
      <w:lvlJc w:val="right"/>
      <w:pPr>
        <w:tabs>
          <w:tab w:val="num" w:pos="4320"/>
        </w:tabs>
        <w:ind w:left="4320" w:hanging="180"/>
      </w:pPr>
    </w:lvl>
    <w:lvl w:ilvl="6" w:tplc="EFBCB696" w:tentative="1">
      <w:start w:val="1"/>
      <w:numFmt w:val="decimal"/>
      <w:lvlText w:val="%7."/>
      <w:lvlJc w:val="left"/>
      <w:pPr>
        <w:tabs>
          <w:tab w:val="num" w:pos="5040"/>
        </w:tabs>
        <w:ind w:left="5040" w:hanging="360"/>
      </w:pPr>
    </w:lvl>
    <w:lvl w:ilvl="7" w:tplc="3DA656E8" w:tentative="1">
      <w:start w:val="1"/>
      <w:numFmt w:val="lowerLetter"/>
      <w:lvlText w:val="%8."/>
      <w:lvlJc w:val="left"/>
      <w:pPr>
        <w:tabs>
          <w:tab w:val="num" w:pos="5760"/>
        </w:tabs>
        <w:ind w:left="5760" w:hanging="360"/>
      </w:pPr>
    </w:lvl>
    <w:lvl w:ilvl="8" w:tplc="76947ED6"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2B362816"/>
    <w:lvl w:ilvl="0" w:tplc="FED251F2">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67C280C" w:tentative="1">
      <w:start w:val="1"/>
      <w:numFmt w:val="lowerLetter"/>
      <w:lvlText w:val="%2."/>
      <w:lvlJc w:val="left"/>
      <w:pPr>
        <w:tabs>
          <w:tab w:val="num" w:pos="1440"/>
        </w:tabs>
        <w:ind w:left="1440" w:hanging="360"/>
      </w:pPr>
    </w:lvl>
    <w:lvl w:ilvl="2" w:tplc="9D8A1FC6" w:tentative="1">
      <w:start w:val="1"/>
      <w:numFmt w:val="lowerRoman"/>
      <w:lvlText w:val="%3."/>
      <w:lvlJc w:val="right"/>
      <w:pPr>
        <w:tabs>
          <w:tab w:val="num" w:pos="2160"/>
        </w:tabs>
        <w:ind w:left="2160" w:hanging="180"/>
      </w:pPr>
    </w:lvl>
    <w:lvl w:ilvl="3" w:tplc="466CF1DC" w:tentative="1">
      <w:start w:val="1"/>
      <w:numFmt w:val="decimal"/>
      <w:lvlText w:val="%4."/>
      <w:lvlJc w:val="left"/>
      <w:pPr>
        <w:tabs>
          <w:tab w:val="num" w:pos="2880"/>
        </w:tabs>
        <w:ind w:left="2880" w:hanging="360"/>
      </w:pPr>
    </w:lvl>
    <w:lvl w:ilvl="4" w:tplc="3962EBC0" w:tentative="1">
      <w:start w:val="1"/>
      <w:numFmt w:val="lowerLetter"/>
      <w:lvlText w:val="%5."/>
      <w:lvlJc w:val="left"/>
      <w:pPr>
        <w:tabs>
          <w:tab w:val="num" w:pos="3600"/>
        </w:tabs>
        <w:ind w:left="3600" w:hanging="360"/>
      </w:pPr>
    </w:lvl>
    <w:lvl w:ilvl="5" w:tplc="EDDCAD14" w:tentative="1">
      <w:start w:val="1"/>
      <w:numFmt w:val="lowerRoman"/>
      <w:lvlText w:val="%6."/>
      <w:lvlJc w:val="right"/>
      <w:pPr>
        <w:tabs>
          <w:tab w:val="num" w:pos="4320"/>
        </w:tabs>
        <w:ind w:left="4320" w:hanging="180"/>
      </w:pPr>
    </w:lvl>
    <w:lvl w:ilvl="6" w:tplc="78E8BBC8" w:tentative="1">
      <w:start w:val="1"/>
      <w:numFmt w:val="decimal"/>
      <w:lvlText w:val="%7."/>
      <w:lvlJc w:val="left"/>
      <w:pPr>
        <w:tabs>
          <w:tab w:val="num" w:pos="5040"/>
        </w:tabs>
        <w:ind w:left="5040" w:hanging="360"/>
      </w:pPr>
    </w:lvl>
    <w:lvl w:ilvl="7" w:tplc="59DA9CD8" w:tentative="1">
      <w:start w:val="1"/>
      <w:numFmt w:val="lowerLetter"/>
      <w:lvlText w:val="%8."/>
      <w:lvlJc w:val="left"/>
      <w:pPr>
        <w:tabs>
          <w:tab w:val="num" w:pos="5760"/>
        </w:tabs>
        <w:ind w:left="5760" w:hanging="360"/>
      </w:pPr>
    </w:lvl>
    <w:lvl w:ilvl="8" w:tplc="9CA02922" w:tentative="1">
      <w:start w:val="1"/>
      <w:numFmt w:val="lowerRoman"/>
      <w:lvlText w:val="%9."/>
      <w:lvlJc w:val="right"/>
      <w:pPr>
        <w:tabs>
          <w:tab w:val="num" w:pos="6480"/>
        </w:tabs>
        <w:ind w:left="6480" w:hanging="180"/>
      </w:pPr>
    </w:lvl>
  </w:abstractNum>
  <w:abstractNum w:abstractNumId="12" w15:restartNumberingAfterBreak="0">
    <w:nsid w:val="129343B1"/>
    <w:multiLevelType w:val="hybridMultilevel"/>
    <w:tmpl w:val="E80A6478"/>
    <w:lvl w:ilvl="0" w:tplc="5B2E6CB6">
      <w:start w:val="2"/>
      <w:numFmt w:val="bullet"/>
      <w:lvlText w:val=""/>
      <w:lvlJc w:val="left"/>
      <w:pPr>
        <w:ind w:left="1080" w:hanging="360"/>
      </w:pPr>
      <w:rPr>
        <w:rFonts w:ascii="Wingdings" w:eastAsiaTheme="minorEastAsia" w:hAnsi="Wingdings"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C36DB4"/>
    <w:multiLevelType w:val="hybridMultilevel"/>
    <w:tmpl w:val="0B58A85A"/>
    <w:lvl w:ilvl="0" w:tplc="0409000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253887"/>
    <w:multiLevelType w:val="hybridMultilevel"/>
    <w:tmpl w:val="497EC7CC"/>
    <w:lvl w:ilvl="0" w:tplc="4386E202">
      <w:start w:val="1"/>
      <w:numFmt w:val="bullet"/>
      <w:lvlText w:val="•"/>
      <w:lvlJc w:val="left"/>
      <w:pPr>
        <w:tabs>
          <w:tab w:val="num" w:pos="2268"/>
        </w:tabs>
        <w:ind w:left="2268" w:hanging="170"/>
      </w:pPr>
      <w:rPr>
        <w:rFonts w:ascii="Times New Roman" w:hAnsi="Times New Roman" w:cs="Times New Roman" w:hint="default"/>
      </w:rPr>
    </w:lvl>
    <w:lvl w:ilvl="1" w:tplc="0BECC902" w:tentative="1">
      <w:start w:val="1"/>
      <w:numFmt w:val="bullet"/>
      <w:lvlText w:val="o"/>
      <w:lvlJc w:val="left"/>
      <w:pPr>
        <w:tabs>
          <w:tab w:val="num" w:pos="1440"/>
        </w:tabs>
        <w:ind w:left="1440" w:hanging="360"/>
      </w:pPr>
      <w:rPr>
        <w:rFonts w:ascii="Courier New" w:hAnsi="Courier New" w:hint="default"/>
      </w:rPr>
    </w:lvl>
    <w:lvl w:ilvl="2" w:tplc="F0A47C5C" w:tentative="1">
      <w:start w:val="1"/>
      <w:numFmt w:val="bullet"/>
      <w:lvlText w:val=""/>
      <w:lvlJc w:val="left"/>
      <w:pPr>
        <w:tabs>
          <w:tab w:val="num" w:pos="2160"/>
        </w:tabs>
        <w:ind w:left="2160" w:hanging="360"/>
      </w:pPr>
      <w:rPr>
        <w:rFonts w:ascii="Wingdings" w:hAnsi="Wingdings" w:hint="default"/>
      </w:rPr>
    </w:lvl>
    <w:lvl w:ilvl="3" w:tplc="4C583656" w:tentative="1">
      <w:start w:val="1"/>
      <w:numFmt w:val="bullet"/>
      <w:lvlText w:val=""/>
      <w:lvlJc w:val="left"/>
      <w:pPr>
        <w:tabs>
          <w:tab w:val="num" w:pos="2880"/>
        </w:tabs>
        <w:ind w:left="2880" w:hanging="360"/>
      </w:pPr>
      <w:rPr>
        <w:rFonts w:ascii="Symbol" w:hAnsi="Symbol" w:hint="default"/>
      </w:rPr>
    </w:lvl>
    <w:lvl w:ilvl="4" w:tplc="E5AC7D22" w:tentative="1">
      <w:start w:val="1"/>
      <w:numFmt w:val="bullet"/>
      <w:lvlText w:val="o"/>
      <w:lvlJc w:val="left"/>
      <w:pPr>
        <w:tabs>
          <w:tab w:val="num" w:pos="3600"/>
        </w:tabs>
        <w:ind w:left="3600" w:hanging="360"/>
      </w:pPr>
      <w:rPr>
        <w:rFonts w:ascii="Courier New" w:hAnsi="Courier New" w:hint="default"/>
      </w:rPr>
    </w:lvl>
    <w:lvl w:ilvl="5" w:tplc="114CF744" w:tentative="1">
      <w:start w:val="1"/>
      <w:numFmt w:val="bullet"/>
      <w:lvlText w:val=""/>
      <w:lvlJc w:val="left"/>
      <w:pPr>
        <w:tabs>
          <w:tab w:val="num" w:pos="4320"/>
        </w:tabs>
        <w:ind w:left="4320" w:hanging="360"/>
      </w:pPr>
      <w:rPr>
        <w:rFonts w:ascii="Wingdings" w:hAnsi="Wingdings" w:hint="default"/>
      </w:rPr>
    </w:lvl>
    <w:lvl w:ilvl="6" w:tplc="9A94C5DE" w:tentative="1">
      <w:start w:val="1"/>
      <w:numFmt w:val="bullet"/>
      <w:lvlText w:val=""/>
      <w:lvlJc w:val="left"/>
      <w:pPr>
        <w:tabs>
          <w:tab w:val="num" w:pos="5040"/>
        </w:tabs>
        <w:ind w:left="5040" w:hanging="360"/>
      </w:pPr>
      <w:rPr>
        <w:rFonts w:ascii="Symbol" w:hAnsi="Symbol" w:hint="default"/>
      </w:rPr>
    </w:lvl>
    <w:lvl w:ilvl="7" w:tplc="8CC85E7A" w:tentative="1">
      <w:start w:val="1"/>
      <w:numFmt w:val="bullet"/>
      <w:lvlText w:val="o"/>
      <w:lvlJc w:val="left"/>
      <w:pPr>
        <w:tabs>
          <w:tab w:val="num" w:pos="5760"/>
        </w:tabs>
        <w:ind w:left="5760" w:hanging="360"/>
      </w:pPr>
      <w:rPr>
        <w:rFonts w:ascii="Courier New" w:hAnsi="Courier New" w:hint="default"/>
      </w:rPr>
    </w:lvl>
    <w:lvl w:ilvl="8" w:tplc="F63012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80584"/>
    <w:multiLevelType w:val="hybridMultilevel"/>
    <w:tmpl w:val="3C96A61E"/>
    <w:lvl w:ilvl="0" w:tplc="399A5C98">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2A913FD8"/>
    <w:multiLevelType w:val="hybridMultilevel"/>
    <w:tmpl w:val="4356A558"/>
    <w:lvl w:ilvl="0" w:tplc="014C19E2">
      <w:start w:val="1"/>
      <w:numFmt w:val="bullet"/>
      <w:lvlText w:val=""/>
      <w:lvlJc w:val="left"/>
      <w:pPr>
        <w:ind w:left="649" w:hanging="360"/>
      </w:pPr>
      <w:rPr>
        <w:rFonts w:ascii="Wingdings" w:eastAsiaTheme="minorHAnsi" w:hAnsi="Wingdings" w:cs="Arial" w:hint="default"/>
      </w:rPr>
    </w:lvl>
    <w:lvl w:ilvl="1" w:tplc="04070003">
      <w:start w:val="1"/>
      <w:numFmt w:val="bullet"/>
      <w:lvlText w:val="o"/>
      <w:lvlJc w:val="left"/>
      <w:pPr>
        <w:ind w:left="1369" w:hanging="360"/>
      </w:pPr>
      <w:rPr>
        <w:rFonts w:ascii="Courier New" w:hAnsi="Courier New" w:cs="Courier New" w:hint="default"/>
      </w:rPr>
    </w:lvl>
    <w:lvl w:ilvl="2" w:tplc="04070005" w:tentative="1">
      <w:start w:val="1"/>
      <w:numFmt w:val="bullet"/>
      <w:lvlText w:val=""/>
      <w:lvlJc w:val="left"/>
      <w:pPr>
        <w:ind w:left="2089" w:hanging="360"/>
      </w:pPr>
      <w:rPr>
        <w:rFonts w:ascii="Wingdings" w:hAnsi="Wingdings" w:hint="default"/>
      </w:rPr>
    </w:lvl>
    <w:lvl w:ilvl="3" w:tplc="04070001" w:tentative="1">
      <w:start w:val="1"/>
      <w:numFmt w:val="bullet"/>
      <w:lvlText w:val=""/>
      <w:lvlJc w:val="left"/>
      <w:pPr>
        <w:ind w:left="2809" w:hanging="360"/>
      </w:pPr>
      <w:rPr>
        <w:rFonts w:ascii="Symbol" w:hAnsi="Symbol" w:hint="default"/>
      </w:rPr>
    </w:lvl>
    <w:lvl w:ilvl="4" w:tplc="04070003" w:tentative="1">
      <w:start w:val="1"/>
      <w:numFmt w:val="bullet"/>
      <w:lvlText w:val="o"/>
      <w:lvlJc w:val="left"/>
      <w:pPr>
        <w:ind w:left="3529" w:hanging="360"/>
      </w:pPr>
      <w:rPr>
        <w:rFonts w:ascii="Courier New" w:hAnsi="Courier New" w:cs="Courier New" w:hint="default"/>
      </w:rPr>
    </w:lvl>
    <w:lvl w:ilvl="5" w:tplc="04070005" w:tentative="1">
      <w:start w:val="1"/>
      <w:numFmt w:val="bullet"/>
      <w:lvlText w:val=""/>
      <w:lvlJc w:val="left"/>
      <w:pPr>
        <w:ind w:left="4249" w:hanging="360"/>
      </w:pPr>
      <w:rPr>
        <w:rFonts w:ascii="Wingdings" w:hAnsi="Wingdings" w:hint="default"/>
      </w:rPr>
    </w:lvl>
    <w:lvl w:ilvl="6" w:tplc="04070001" w:tentative="1">
      <w:start w:val="1"/>
      <w:numFmt w:val="bullet"/>
      <w:lvlText w:val=""/>
      <w:lvlJc w:val="left"/>
      <w:pPr>
        <w:ind w:left="4969" w:hanging="360"/>
      </w:pPr>
      <w:rPr>
        <w:rFonts w:ascii="Symbol" w:hAnsi="Symbol" w:hint="default"/>
      </w:rPr>
    </w:lvl>
    <w:lvl w:ilvl="7" w:tplc="04070003" w:tentative="1">
      <w:start w:val="1"/>
      <w:numFmt w:val="bullet"/>
      <w:lvlText w:val="o"/>
      <w:lvlJc w:val="left"/>
      <w:pPr>
        <w:ind w:left="5689" w:hanging="360"/>
      </w:pPr>
      <w:rPr>
        <w:rFonts w:ascii="Courier New" w:hAnsi="Courier New" w:cs="Courier New" w:hint="default"/>
      </w:rPr>
    </w:lvl>
    <w:lvl w:ilvl="8" w:tplc="04070005" w:tentative="1">
      <w:start w:val="1"/>
      <w:numFmt w:val="bullet"/>
      <w:lvlText w:val=""/>
      <w:lvlJc w:val="left"/>
      <w:pPr>
        <w:ind w:left="6409" w:hanging="360"/>
      </w:pPr>
      <w:rPr>
        <w:rFonts w:ascii="Wingdings" w:hAnsi="Wingdings" w:hint="default"/>
      </w:rPr>
    </w:lvl>
  </w:abstractNum>
  <w:abstractNum w:abstractNumId="17" w15:restartNumberingAfterBreak="0">
    <w:nsid w:val="2AE84FC6"/>
    <w:multiLevelType w:val="hybridMultilevel"/>
    <w:tmpl w:val="6CB4C41E"/>
    <w:lvl w:ilvl="0" w:tplc="D3F03354">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31A12325"/>
    <w:multiLevelType w:val="hybridMultilevel"/>
    <w:tmpl w:val="FF0E5B48"/>
    <w:lvl w:ilvl="0" w:tplc="0CB4C756">
      <w:start w:val="1"/>
      <w:numFmt w:val="bullet"/>
      <w:lvlText w:val="•"/>
      <w:lvlJc w:val="left"/>
      <w:pPr>
        <w:tabs>
          <w:tab w:val="num" w:pos="1701"/>
        </w:tabs>
        <w:ind w:left="1701" w:hanging="170"/>
      </w:pPr>
      <w:rPr>
        <w:rFonts w:ascii="Times New Roman" w:hAnsi="Times New Roman" w:cs="Times New Roman" w:hint="default"/>
        <w:b w:val="0"/>
        <w:i w:val="0"/>
        <w:sz w:val="20"/>
      </w:rPr>
    </w:lvl>
    <w:lvl w:ilvl="1" w:tplc="EB98AE7E" w:tentative="1">
      <w:start w:val="1"/>
      <w:numFmt w:val="bullet"/>
      <w:lvlText w:val="o"/>
      <w:lvlJc w:val="left"/>
      <w:pPr>
        <w:tabs>
          <w:tab w:val="num" w:pos="1440"/>
        </w:tabs>
        <w:ind w:left="1440" w:hanging="360"/>
      </w:pPr>
      <w:rPr>
        <w:rFonts w:ascii="Courier New" w:hAnsi="Courier New" w:hint="default"/>
      </w:rPr>
    </w:lvl>
    <w:lvl w:ilvl="2" w:tplc="A0FC6DFE" w:tentative="1">
      <w:start w:val="1"/>
      <w:numFmt w:val="bullet"/>
      <w:lvlText w:val=""/>
      <w:lvlJc w:val="left"/>
      <w:pPr>
        <w:tabs>
          <w:tab w:val="num" w:pos="2160"/>
        </w:tabs>
        <w:ind w:left="2160" w:hanging="360"/>
      </w:pPr>
      <w:rPr>
        <w:rFonts w:ascii="Wingdings" w:hAnsi="Wingdings" w:hint="default"/>
      </w:rPr>
    </w:lvl>
    <w:lvl w:ilvl="3" w:tplc="320448D4" w:tentative="1">
      <w:start w:val="1"/>
      <w:numFmt w:val="bullet"/>
      <w:lvlText w:val=""/>
      <w:lvlJc w:val="left"/>
      <w:pPr>
        <w:tabs>
          <w:tab w:val="num" w:pos="2880"/>
        </w:tabs>
        <w:ind w:left="2880" w:hanging="360"/>
      </w:pPr>
      <w:rPr>
        <w:rFonts w:ascii="Symbol" w:hAnsi="Symbol" w:hint="default"/>
      </w:rPr>
    </w:lvl>
    <w:lvl w:ilvl="4" w:tplc="498E4B76" w:tentative="1">
      <w:start w:val="1"/>
      <w:numFmt w:val="bullet"/>
      <w:lvlText w:val="o"/>
      <w:lvlJc w:val="left"/>
      <w:pPr>
        <w:tabs>
          <w:tab w:val="num" w:pos="3600"/>
        </w:tabs>
        <w:ind w:left="3600" w:hanging="360"/>
      </w:pPr>
      <w:rPr>
        <w:rFonts w:ascii="Courier New" w:hAnsi="Courier New" w:hint="default"/>
      </w:rPr>
    </w:lvl>
    <w:lvl w:ilvl="5" w:tplc="76BA2BA8" w:tentative="1">
      <w:start w:val="1"/>
      <w:numFmt w:val="bullet"/>
      <w:lvlText w:val=""/>
      <w:lvlJc w:val="left"/>
      <w:pPr>
        <w:tabs>
          <w:tab w:val="num" w:pos="4320"/>
        </w:tabs>
        <w:ind w:left="4320" w:hanging="360"/>
      </w:pPr>
      <w:rPr>
        <w:rFonts w:ascii="Wingdings" w:hAnsi="Wingdings" w:hint="default"/>
      </w:rPr>
    </w:lvl>
    <w:lvl w:ilvl="6" w:tplc="32DA2AB4" w:tentative="1">
      <w:start w:val="1"/>
      <w:numFmt w:val="bullet"/>
      <w:lvlText w:val=""/>
      <w:lvlJc w:val="left"/>
      <w:pPr>
        <w:tabs>
          <w:tab w:val="num" w:pos="5040"/>
        </w:tabs>
        <w:ind w:left="5040" w:hanging="360"/>
      </w:pPr>
      <w:rPr>
        <w:rFonts w:ascii="Symbol" w:hAnsi="Symbol" w:hint="default"/>
      </w:rPr>
    </w:lvl>
    <w:lvl w:ilvl="7" w:tplc="C5D63F96" w:tentative="1">
      <w:start w:val="1"/>
      <w:numFmt w:val="bullet"/>
      <w:lvlText w:val="o"/>
      <w:lvlJc w:val="left"/>
      <w:pPr>
        <w:tabs>
          <w:tab w:val="num" w:pos="5760"/>
        </w:tabs>
        <w:ind w:left="5760" w:hanging="360"/>
      </w:pPr>
      <w:rPr>
        <w:rFonts w:ascii="Courier New" w:hAnsi="Courier New" w:hint="default"/>
      </w:rPr>
    </w:lvl>
    <w:lvl w:ilvl="8" w:tplc="C9C2D05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F4EB2"/>
    <w:multiLevelType w:val="hybridMultilevel"/>
    <w:tmpl w:val="CB6C816A"/>
    <w:lvl w:ilvl="0" w:tplc="DAD6E72C">
      <w:start w:val="1"/>
      <w:numFmt w:val="bullet"/>
      <w:pStyle w:val="Bullet2G"/>
      <w:lvlText w:val="•"/>
      <w:lvlJc w:val="left"/>
      <w:pPr>
        <w:tabs>
          <w:tab w:val="num" w:pos="2268"/>
        </w:tabs>
        <w:ind w:left="2268" w:hanging="170"/>
      </w:pPr>
      <w:rPr>
        <w:rFonts w:ascii="Times New Roman" w:hAnsi="Times New Roman" w:cs="Times New Roman" w:hint="default"/>
      </w:rPr>
    </w:lvl>
    <w:lvl w:ilvl="1" w:tplc="031CA53A" w:tentative="1">
      <w:start w:val="1"/>
      <w:numFmt w:val="bullet"/>
      <w:lvlText w:val="o"/>
      <w:lvlJc w:val="left"/>
      <w:pPr>
        <w:tabs>
          <w:tab w:val="num" w:pos="3708"/>
        </w:tabs>
        <w:ind w:left="3708" w:hanging="360"/>
      </w:pPr>
      <w:rPr>
        <w:rFonts w:ascii="Courier New" w:hAnsi="Courier New" w:hint="default"/>
      </w:rPr>
    </w:lvl>
    <w:lvl w:ilvl="2" w:tplc="215642F8" w:tentative="1">
      <w:start w:val="1"/>
      <w:numFmt w:val="bullet"/>
      <w:lvlText w:val=""/>
      <w:lvlJc w:val="left"/>
      <w:pPr>
        <w:tabs>
          <w:tab w:val="num" w:pos="4428"/>
        </w:tabs>
        <w:ind w:left="4428" w:hanging="360"/>
      </w:pPr>
      <w:rPr>
        <w:rFonts w:ascii="Wingdings" w:hAnsi="Wingdings" w:hint="default"/>
      </w:rPr>
    </w:lvl>
    <w:lvl w:ilvl="3" w:tplc="9A10FA86" w:tentative="1">
      <w:start w:val="1"/>
      <w:numFmt w:val="bullet"/>
      <w:lvlText w:val=""/>
      <w:lvlJc w:val="left"/>
      <w:pPr>
        <w:tabs>
          <w:tab w:val="num" w:pos="5148"/>
        </w:tabs>
        <w:ind w:left="5148" w:hanging="360"/>
      </w:pPr>
      <w:rPr>
        <w:rFonts w:ascii="Symbol" w:hAnsi="Symbol" w:hint="default"/>
      </w:rPr>
    </w:lvl>
    <w:lvl w:ilvl="4" w:tplc="88C8F84A" w:tentative="1">
      <w:start w:val="1"/>
      <w:numFmt w:val="bullet"/>
      <w:lvlText w:val="o"/>
      <w:lvlJc w:val="left"/>
      <w:pPr>
        <w:tabs>
          <w:tab w:val="num" w:pos="5868"/>
        </w:tabs>
        <w:ind w:left="5868" w:hanging="360"/>
      </w:pPr>
      <w:rPr>
        <w:rFonts w:ascii="Courier New" w:hAnsi="Courier New" w:hint="default"/>
      </w:rPr>
    </w:lvl>
    <w:lvl w:ilvl="5" w:tplc="C5A03CFE" w:tentative="1">
      <w:start w:val="1"/>
      <w:numFmt w:val="bullet"/>
      <w:lvlText w:val=""/>
      <w:lvlJc w:val="left"/>
      <w:pPr>
        <w:tabs>
          <w:tab w:val="num" w:pos="6588"/>
        </w:tabs>
        <w:ind w:left="6588" w:hanging="360"/>
      </w:pPr>
      <w:rPr>
        <w:rFonts w:ascii="Wingdings" w:hAnsi="Wingdings" w:hint="default"/>
      </w:rPr>
    </w:lvl>
    <w:lvl w:ilvl="6" w:tplc="30768C10" w:tentative="1">
      <w:start w:val="1"/>
      <w:numFmt w:val="bullet"/>
      <w:lvlText w:val=""/>
      <w:lvlJc w:val="left"/>
      <w:pPr>
        <w:tabs>
          <w:tab w:val="num" w:pos="7308"/>
        </w:tabs>
        <w:ind w:left="7308" w:hanging="360"/>
      </w:pPr>
      <w:rPr>
        <w:rFonts w:ascii="Symbol" w:hAnsi="Symbol" w:hint="default"/>
      </w:rPr>
    </w:lvl>
    <w:lvl w:ilvl="7" w:tplc="D33C54D6" w:tentative="1">
      <w:start w:val="1"/>
      <w:numFmt w:val="bullet"/>
      <w:lvlText w:val="o"/>
      <w:lvlJc w:val="left"/>
      <w:pPr>
        <w:tabs>
          <w:tab w:val="num" w:pos="8028"/>
        </w:tabs>
        <w:ind w:left="8028" w:hanging="360"/>
      </w:pPr>
      <w:rPr>
        <w:rFonts w:ascii="Courier New" w:hAnsi="Courier New" w:hint="default"/>
      </w:rPr>
    </w:lvl>
    <w:lvl w:ilvl="8" w:tplc="1F1E3D66" w:tentative="1">
      <w:start w:val="1"/>
      <w:numFmt w:val="bullet"/>
      <w:lvlText w:val=""/>
      <w:lvlJc w:val="left"/>
      <w:pPr>
        <w:tabs>
          <w:tab w:val="num" w:pos="8748"/>
        </w:tabs>
        <w:ind w:left="8748" w:hanging="360"/>
      </w:pPr>
      <w:rPr>
        <w:rFonts w:ascii="Wingdings" w:hAnsi="Wingdings" w:hint="default"/>
      </w:rPr>
    </w:lvl>
  </w:abstractNum>
  <w:abstractNum w:abstractNumId="20" w15:restartNumberingAfterBreak="0">
    <w:nsid w:val="3CDA279F"/>
    <w:multiLevelType w:val="hybridMultilevel"/>
    <w:tmpl w:val="D7705E22"/>
    <w:lvl w:ilvl="0" w:tplc="7D0E1EA4">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F7765"/>
    <w:multiLevelType w:val="hybridMultilevel"/>
    <w:tmpl w:val="212E490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D05BBE"/>
    <w:multiLevelType w:val="hybridMultilevel"/>
    <w:tmpl w:val="88F6A734"/>
    <w:lvl w:ilvl="0" w:tplc="8F70690C">
      <w:start w:val="4"/>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2A5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D85D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5968A2"/>
    <w:multiLevelType w:val="hybridMultilevel"/>
    <w:tmpl w:val="C50AC75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68AD07B2"/>
    <w:multiLevelType w:val="hybridMultilevel"/>
    <w:tmpl w:val="7FEE3222"/>
    <w:lvl w:ilvl="0" w:tplc="D5F80F7C">
      <w:start w:val="1"/>
      <w:numFmt w:val="bullet"/>
      <w:pStyle w:val="Bullet1G"/>
      <w:lvlText w:val="•"/>
      <w:lvlJc w:val="left"/>
      <w:pPr>
        <w:tabs>
          <w:tab w:val="num" w:pos="1701"/>
        </w:tabs>
        <w:ind w:left="1701" w:hanging="170"/>
      </w:pPr>
      <w:rPr>
        <w:rFonts w:ascii="Times New Roman" w:hAnsi="Times New Roman" w:cs="Times New Roman" w:hint="default"/>
      </w:rPr>
    </w:lvl>
    <w:lvl w:ilvl="1" w:tplc="760C42CC" w:tentative="1">
      <w:start w:val="1"/>
      <w:numFmt w:val="bullet"/>
      <w:lvlText w:val="o"/>
      <w:lvlJc w:val="left"/>
      <w:pPr>
        <w:tabs>
          <w:tab w:val="num" w:pos="3141"/>
        </w:tabs>
        <w:ind w:left="3141" w:hanging="360"/>
      </w:pPr>
      <w:rPr>
        <w:rFonts w:ascii="Courier New" w:hAnsi="Courier New" w:hint="default"/>
      </w:rPr>
    </w:lvl>
    <w:lvl w:ilvl="2" w:tplc="07941AEE" w:tentative="1">
      <w:start w:val="1"/>
      <w:numFmt w:val="bullet"/>
      <w:lvlText w:val=""/>
      <w:lvlJc w:val="left"/>
      <w:pPr>
        <w:tabs>
          <w:tab w:val="num" w:pos="3861"/>
        </w:tabs>
        <w:ind w:left="3861" w:hanging="360"/>
      </w:pPr>
      <w:rPr>
        <w:rFonts w:ascii="Wingdings" w:hAnsi="Wingdings" w:hint="default"/>
      </w:rPr>
    </w:lvl>
    <w:lvl w:ilvl="3" w:tplc="6672A0A0" w:tentative="1">
      <w:start w:val="1"/>
      <w:numFmt w:val="bullet"/>
      <w:lvlText w:val=""/>
      <w:lvlJc w:val="left"/>
      <w:pPr>
        <w:tabs>
          <w:tab w:val="num" w:pos="4581"/>
        </w:tabs>
        <w:ind w:left="4581" w:hanging="360"/>
      </w:pPr>
      <w:rPr>
        <w:rFonts w:ascii="Symbol" w:hAnsi="Symbol" w:hint="default"/>
      </w:rPr>
    </w:lvl>
    <w:lvl w:ilvl="4" w:tplc="91D2BB80" w:tentative="1">
      <w:start w:val="1"/>
      <w:numFmt w:val="bullet"/>
      <w:lvlText w:val="o"/>
      <w:lvlJc w:val="left"/>
      <w:pPr>
        <w:tabs>
          <w:tab w:val="num" w:pos="5301"/>
        </w:tabs>
        <w:ind w:left="5301" w:hanging="360"/>
      </w:pPr>
      <w:rPr>
        <w:rFonts w:ascii="Courier New" w:hAnsi="Courier New" w:hint="default"/>
      </w:rPr>
    </w:lvl>
    <w:lvl w:ilvl="5" w:tplc="B30A14B0" w:tentative="1">
      <w:start w:val="1"/>
      <w:numFmt w:val="bullet"/>
      <w:lvlText w:val=""/>
      <w:lvlJc w:val="left"/>
      <w:pPr>
        <w:tabs>
          <w:tab w:val="num" w:pos="6021"/>
        </w:tabs>
        <w:ind w:left="6021" w:hanging="360"/>
      </w:pPr>
      <w:rPr>
        <w:rFonts w:ascii="Wingdings" w:hAnsi="Wingdings" w:hint="default"/>
      </w:rPr>
    </w:lvl>
    <w:lvl w:ilvl="6" w:tplc="1D34AE2C" w:tentative="1">
      <w:start w:val="1"/>
      <w:numFmt w:val="bullet"/>
      <w:lvlText w:val=""/>
      <w:lvlJc w:val="left"/>
      <w:pPr>
        <w:tabs>
          <w:tab w:val="num" w:pos="6741"/>
        </w:tabs>
        <w:ind w:left="6741" w:hanging="360"/>
      </w:pPr>
      <w:rPr>
        <w:rFonts w:ascii="Symbol" w:hAnsi="Symbol" w:hint="default"/>
      </w:rPr>
    </w:lvl>
    <w:lvl w:ilvl="7" w:tplc="5DA03D72" w:tentative="1">
      <w:start w:val="1"/>
      <w:numFmt w:val="bullet"/>
      <w:lvlText w:val="o"/>
      <w:lvlJc w:val="left"/>
      <w:pPr>
        <w:tabs>
          <w:tab w:val="num" w:pos="7461"/>
        </w:tabs>
        <w:ind w:left="7461" w:hanging="360"/>
      </w:pPr>
      <w:rPr>
        <w:rFonts w:ascii="Courier New" w:hAnsi="Courier New" w:hint="default"/>
      </w:rPr>
    </w:lvl>
    <w:lvl w:ilvl="8" w:tplc="BD12152C" w:tentative="1">
      <w:start w:val="1"/>
      <w:numFmt w:val="bullet"/>
      <w:lvlText w:val=""/>
      <w:lvlJc w:val="left"/>
      <w:pPr>
        <w:tabs>
          <w:tab w:val="num" w:pos="8181"/>
        </w:tabs>
        <w:ind w:left="8181" w:hanging="360"/>
      </w:pPr>
      <w:rPr>
        <w:rFonts w:ascii="Wingdings" w:hAnsi="Wingdings" w:hint="default"/>
      </w:rPr>
    </w:lvl>
  </w:abstractNum>
  <w:abstractNum w:abstractNumId="28" w15:restartNumberingAfterBreak="0">
    <w:nsid w:val="77554A0D"/>
    <w:multiLevelType w:val="hybridMultilevel"/>
    <w:tmpl w:val="4D54FD6C"/>
    <w:lvl w:ilvl="0" w:tplc="A5A07C7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9"/>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8"/>
  </w:num>
  <w:num w:numId="15">
    <w:abstractNumId w:val="14"/>
  </w:num>
  <w:num w:numId="16">
    <w:abstractNumId w:val="10"/>
  </w:num>
  <w:num w:numId="17">
    <w:abstractNumId w:val="24"/>
  </w:num>
  <w:num w:numId="18">
    <w:abstractNumId w:val="25"/>
  </w:num>
  <w:num w:numId="19">
    <w:abstractNumId w:val="23"/>
  </w:num>
  <w:num w:numId="20">
    <w:abstractNumId w:val="29"/>
  </w:num>
  <w:num w:numId="21">
    <w:abstractNumId w:val="27"/>
  </w:num>
  <w:num w:numId="22">
    <w:abstractNumId w:val="19"/>
  </w:num>
  <w:num w:numId="23">
    <w:abstractNumId w:val="11"/>
  </w:num>
  <w:num w:numId="24">
    <w:abstractNumId w:val="16"/>
  </w:num>
  <w:num w:numId="25">
    <w:abstractNumId w:val="20"/>
  </w:num>
  <w:num w:numId="26">
    <w:abstractNumId w:val="12"/>
  </w:num>
  <w:num w:numId="27">
    <w:abstractNumId w:val="21"/>
  </w:num>
  <w:num w:numId="28">
    <w:abstractNumId w:val="26"/>
  </w:num>
  <w:num w:numId="29">
    <w:abstractNumId w:val="13"/>
  </w:num>
  <w:num w:numId="30">
    <w:abstractNumId w:val="28"/>
  </w:num>
  <w:num w:numId="31">
    <w:abstractNumId w:val="22"/>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s-MX"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s-MX" w:vendorID="64" w:dllVersion="131078"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567"/>
  <w:hyphenationZone w:val="425"/>
  <w:evenAndOddHeaders/>
  <w:characterSpacingControl w:val="doNotCompress"/>
  <w:hdrShapeDefaults>
    <o:shapedefaults v:ext="edit" spidmax="32769"/>
  </w:hdrShapeDefault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74"/>
    <w:rsid w:val="000008D8"/>
    <w:rsid w:val="00003FAD"/>
    <w:rsid w:val="000177FF"/>
    <w:rsid w:val="000337D0"/>
    <w:rsid w:val="00040507"/>
    <w:rsid w:val="00054ABA"/>
    <w:rsid w:val="0006182B"/>
    <w:rsid w:val="00064082"/>
    <w:rsid w:val="0006724A"/>
    <w:rsid w:val="000777EB"/>
    <w:rsid w:val="0008667D"/>
    <w:rsid w:val="000A4052"/>
    <w:rsid w:val="000A4724"/>
    <w:rsid w:val="000B0BC9"/>
    <w:rsid w:val="000C466A"/>
    <w:rsid w:val="000C791B"/>
    <w:rsid w:val="000C7E6F"/>
    <w:rsid w:val="000D6D53"/>
    <w:rsid w:val="000E1858"/>
    <w:rsid w:val="000E3AB6"/>
    <w:rsid w:val="000E76A5"/>
    <w:rsid w:val="000F3D50"/>
    <w:rsid w:val="00101D31"/>
    <w:rsid w:val="001048C8"/>
    <w:rsid w:val="00107159"/>
    <w:rsid w:val="00107521"/>
    <w:rsid w:val="00112904"/>
    <w:rsid w:val="00114EEE"/>
    <w:rsid w:val="00115F23"/>
    <w:rsid w:val="001164B3"/>
    <w:rsid w:val="00124A7D"/>
    <w:rsid w:val="0012786E"/>
    <w:rsid w:val="0014057C"/>
    <w:rsid w:val="00143F7D"/>
    <w:rsid w:val="00147C86"/>
    <w:rsid w:val="00152C95"/>
    <w:rsid w:val="00161352"/>
    <w:rsid w:val="00194B46"/>
    <w:rsid w:val="001B00CC"/>
    <w:rsid w:val="001B3F58"/>
    <w:rsid w:val="001B66E2"/>
    <w:rsid w:val="001C5949"/>
    <w:rsid w:val="001D4038"/>
    <w:rsid w:val="001E09B0"/>
    <w:rsid w:val="001E3B00"/>
    <w:rsid w:val="001E5F03"/>
    <w:rsid w:val="001F0CB3"/>
    <w:rsid w:val="001F2B90"/>
    <w:rsid w:val="00210523"/>
    <w:rsid w:val="00214156"/>
    <w:rsid w:val="00217297"/>
    <w:rsid w:val="00217E70"/>
    <w:rsid w:val="00220FE7"/>
    <w:rsid w:val="002338FC"/>
    <w:rsid w:val="002426B2"/>
    <w:rsid w:val="00251D0C"/>
    <w:rsid w:val="00263169"/>
    <w:rsid w:val="0027077E"/>
    <w:rsid w:val="00285653"/>
    <w:rsid w:val="00286C5D"/>
    <w:rsid w:val="00291F37"/>
    <w:rsid w:val="00292E2B"/>
    <w:rsid w:val="00293341"/>
    <w:rsid w:val="002A7F1D"/>
    <w:rsid w:val="002A7F56"/>
    <w:rsid w:val="002F46C0"/>
    <w:rsid w:val="00303F95"/>
    <w:rsid w:val="00311D21"/>
    <w:rsid w:val="00320293"/>
    <w:rsid w:val="0032603A"/>
    <w:rsid w:val="003309C9"/>
    <w:rsid w:val="00333AA6"/>
    <w:rsid w:val="0034264A"/>
    <w:rsid w:val="00350744"/>
    <w:rsid w:val="00355FD0"/>
    <w:rsid w:val="00391DCA"/>
    <w:rsid w:val="00395403"/>
    <w:rsid w:val="003960FF"/>
    <w:rsid w:val="003B15B5"/>
    <w:rsid w:val="003B1C6A"/>
    <w:rsid w:val="003B6274"/>
    <w:rsid w:val="003D1848"/>
    <w:rsid w:val="003E70A6"/>
    <w:rsid w:val="004018FA"/>
    <w:rsid w:val="00402393"/>
    <w:rsid w:val="00405401"/>
    <w:rsid w:val="004134B0"/>
    <w:rsid w:val="004264F6"/>
    <w:rsid w:val="00434ECD"/>
    <w:rsid w:val="00442AD1"/>
    <w:rsid w:val="00442F7E"/>
    <w:rsid w:val="004457FF"/>
    <w:rsid w:val="00452056"/>
    <w:rsid w:val="00453D19"/>
    <w:rsid w:val="004618AD"/>
    <w:rsid w:val="004723FC"/>
    <w:rsid w:val="004752D8"/>
    <w:rsid w:val="00476706"/>
    <w:rsid w:val="004846EB"/>
    <w:rsid w:val="004A37A5"/>
    <w:rsid w:val="004B2DB9"/>
    <w:rsid w:val="004D0556"/>
    <w:rsid w:val="004D2945"/>
    <w:rsid w:val="004E22C8"/>
    <w:rsid w:val="004E6307"/>
    <w:rsid w:val="004F5554"/>
    <w:rsid w:val="004F59D2"/>
    <w:rsid w:val="004F5DD4"/>
    <w:rsid w:val="004F7EC2"/>
    <w:rsid w:val="00506222"/>
    <w:rsid w:val="005149A6"/>
    <w:rsid w:val="00514B1C"/>
    <w:rsid w:val="005244A7"/>
    <w:rsid w:val="005341A9"/>
    <w:rsid w:val="0054302E"/>
    <w:rsid w:val="00555D59"/>
    <w:rsid w:val="005603D9"/>
    <w:rsid w:val="0057086A"/>
    <w:rsid w:val="00574B9E"/>
    <w:rsid w:val="005977EE"/>
    <w:rsid w:val="00597D4D"/>
    <w:rsid w:val="005B17DC"/>
    <w:rsid w:val="005B3E8E"/>
    <w:rsid w:val="005B7311"/>
    <w:rsid w:val="005C48EC"/>
    <w:rsid w:val="005D56C9"/>
    <w:rsid w:val="005E12FA"/>
    <w:rsid w:val="005E4BB8"/>
    <w:rsid w:val="005E7C36"/>
    <w:rsid w:val="005F353F"/>
    <w:rsid w:val="005F3FE6"/>
    <w:rsid w:val="005F40DE"/>
    <w:rsid w:val="00605CB7"/>
    <w:rsid w:val="00631ABE"/>
    <w:rsid w:val="0063305A"/>
    <w:rsid w:val="00633AFB"/>
    <w:rsid w:val="00641D21"/>
    <w:rsid w:val="00656E8D"/>
    <w:rsid w:val="006574AF"/>
    <w:rsid w:val="0066310E"/>
    <w:rsid w:val="00674ABD"/>
    <w:rsid w:val="00695D5E"/>
    <w:rsid w:val="006A1BD0"/>
    <w:rsid w:val="006A4374"/>
    <w:rsid w:val="006B1721"/>
    <w:rsid w:val="006B1C25"/>
    <w:rsid w:val="006E74B8"/>
    <w:rsid w:val="006F715C"/>
    <w:rsid w:val="00711245"/>
    <w:rsid w:val="0072157E"/>
    <w:rsid w:val="00726276"/>
    <w:rsid w:val="00731470"/>
    <w:rsid w:val="00735AEE"/>
    <w:rsid w:val="007440E9"/>
    <w:rsid w:val="007533F7"/>
    <w:rsid w:val="00765891"/>
    <w:rsid w:val="007669E2"/>
    <w:rsid w:val="0076701F"/>
    <w:rsid w:val="00767C3B"/>
    <w:rsid w:val="00772240"/>
    <w:rsid w:val="00791C44"/>
    <w:rsid w:val="0079727A"/>
    <w:rsid w:val="007A6744"/>
    <w:rsid w:val="007B0166"/>
    <w:rsid w:val="007C192E"/>
    <w:rsid w:val="007C2817"/>
    <w:rsid w:val="007C296B"/>
    <w:rsid w:val="007C3AB8"/>
    <w:rsid w:val="007C6B94"/>
    <w:rsid w:val="007D4B67"/>
    <w:rsid w:val="007D68E4"/>
    <w:rsid w:val="007D7E9C"/>
    <w:rsid w:val="007E4507"/>
    <w:rsid w:val="007F2AE8"/>
    <w:rsid w:val="007F3640"/>
    <w:rsid w:val="007F6AB2"/>
    <w:rsid w:val="008058C9"/>
    <w:rsid w:val="0081106D"/>
    <w:rsid w:val="008117A6"/>
    <w:rsid w:val="008117F2"/>
    <w:rsid w:val="00812821"/>
    <w:rsid w:val="00820833"/>
    <w:rsid w:val="008217B4"/>
    <w:rsid w:val="00826BAB"/>
    <w:rsid w:val="00834245"/>
    <w:rsid w:val="0083598F"/>
    <w:rsid w:val="00840795"/>
    <w:rsid w:val="008540B7"/>
    <w:rsid w:val="008562DE"/>
    <w:rsid w:val="008572FE"/>
    <w:rsid w:val="00857F94"/>
    <w:rsid w:val="00867E1F"/>
    <w:rsid w:val="008870BD"/>
    <w:rsid w:val="008A4053"/>
    <w:rsid w:val="008B2D68"/>
    <w:rsid w:val="008B66AE"/>
    <w:rsid w:val="008C16CD"/>
    <w:rsid w:val="008C738C"/>
    <w:rsid w:val="008D19B3"/>
    <w:rsid w:val="008F47D6"/>
    <w:rsid w:val="00900559"/>
    <w:rsid w:val="00911B2F"/>
    <w:rsid w:val="00911D03"/>
    <w:rsid w:val="00921F3B"/>
    <w:rsid w:val="00925F4F"/>
    <w:rsid w:val="00932900"/>
    <w:rsid w:val="009469C2"/>
    <w:rsid w:val="009554D1"/>
    <w:rsid w:val="00966492"/>
    <w:rsid w:val="00980552"/>
    <w:rsid w:val="009A2D3B"/>
    <w:rsid w:val="009A5594"/>
    <w:rsid w:val="009B1D66"/>
    <w:rsid w:val="009B2B24"/>
    <w:rsid w:val="009C2D2A"/>
    <w:rsid w:val="009C7528"/>
    <w:rsid w:val="009E015D"/>
    <w:rsid w:val="009E3E26"/>
    <w:rsid w:val="009E4A7C"/>
    <w:rsid w:val="009E6944"/>
    <w:rsid w:val="00A233BC"/>
    <w:rsid w:val="00A33325"/>
    <w:rsid w:val="00A35E98"/>
    <w:rsid w:val="00A37E69"/>
    <w:rsid w:val="00A618FD"/>
    <w:rsid w:val="00A640B2"/>
    <w:rsid w:val="00A70C45"/>
    <w:rsid w:val="00A74526"/>
    <w:rsid w:val="00A84302"/>
    <w:rsid w:val="00A84532"/>
    <w:rsid w:val="00A96FD2"/>
    <w:rsid w:val="00AA4408"/>
    <w:rsid w:val="00AB00D3"/>
    <w:rsid w:val="00AB0D18"/>
    <w:rsid w:val="00AC1085"/>
    <w:rsid w:val="00AC7B13"/>
    <w:rsid w:val="00AD018A"/>
    <w:rsid w:val="00AD3429"/>
    <w:rsid w:val="00AD6BFD"/>
    <w:rsid w:val="00B34BC7"/>
    <w:rsid w:val="00B36B03"/>
    <w:rsid w:val="00B4039B"/>
    <w:rsid w:val="00B53854"/>
    <w:rsid w:val="00B64E71"/>
    <w:rsid w:val="00B91823"/>
    <w:rsid w:val="00B968B7"/>
    <w:rsid w:val="00BA0743"/>
    <w:rsid w:val="00BA20BE"/>
    <w:rsid w:val="00BA7004"/>
    <w:rsid w:val="00BE0134"/>
    <w:rsid w:val="00BE0549"/>
    <w:rsid w:val="00BF1514"/>
    <w:rsid w:val="00BF1848"/>
    <w:rsid w:val="00BF217F"/>
    <w:rsid w:val="00C06585"/>
    <w:rsid w:val="00C146D1"/>
    <w:rsid w:val="00C15B9D"/>
    <w:rsid w:val="00C1748C"/>
    <w:rsid w:val="00C20718"/>
    <w:rsid w:val="00C3184D"/>
    <w:rsid w:val="00C40CA8"/>
    <w:rsid w:val="00C41505"/>
    <w:rsid w:val="00C5324E"/>
    <w:rsid w:val="00C5520D"/>
    <w:rsid w:val="00C7050B"/>
    <w:rsid w:val="00C731E8"/>
    <w:rsid w:val="00C732A4"/>
    <w:rsid w:val="00C7525F"/>
    <w:rsid w:val="00C76757"/>
    <w:rsid w:val="00C77061"/>
    <w:rsid w:val="00CA3734"/>
    <w:rsid w:val="00CB1660"/>
    <w:rsid w:val="00CB42A5"/>
    <w:rsid w:val="00CC1EEB"/>
    <w:rsid w:val="00CC4B3C"/>
    <w:rsid w:val="00CC5AC5"/>
    <w:rsid w:val="00CD1413"/>
    <w:rsid w:val="00CD575C"/>
    <w:rsid w:val="00CD5C0F"/>
    <w:rsid w:val="00CD769F"/>
    <w:rsid w:val="00CE056F"/>
    <w:rsid w:val="00CE0976"/>
    <w:rsid w:val="00CF5B03"/>
    <w:rsid w:val="00CF776B"/>
    <w:rsid w:val="00D005CC"/>
    <w:rsid w:val="00D05C77"/>
    <w:rsid w:val="00D2439E"/>
    <w:rsid w:val="00D275A5"/>
    <w:rsid w:val="00D306FE"/>
    <w:rsid w:val="00D315EF"/>
    <w:rsid w:val="00D32D99"/>
    <w:rsid w:val="00D3491B"/>
    <w:rsid w:val="00D51F7C"/>
    <w:rsid w:val="00D523F7"/>
    <w:rsid w:val="00D61CAA"/>
    <w:rsid w:val="00D63658"/>
    <w:rsid w:val="00D73DAF"/>
    <w:rsid w:val="00D81214"/>
    <w:rsid w:val="00D85F5A"/>
    <w:rsid w:val="00D90C32"/>
    <w:rsid w:val="00DD26EF"/>
    <w:rsid w:val="00DD3977"/>
    <w:rsid w:val="00DD4FA8"/>
    <w:rsid w:val="00DD758E"/>
    <w:rsid w:val="00E0182E"/>
    <w:rsid w:val="00E05561"/>
    <w:rsid w:val="00E14A5E"/>
    <w:rsid w:val="00E1624F"/>
    <w:rsid w:val="00E318A8"/>
    <w:rsid w:val="00E46E80"/>
    <w:rsid w:val="00E478D4"/>
    <w:rsid w:val="00E62948"/>
    <w:rsid w:val="00E64A9C"/>
    <w:rsid w:val="00E76B2B"/>
    <w:rsid w:val="00E81B8D"/>
    <w:rsid w:val="00E94503"/>
    <w:rsid w:val="00EA0E12"/>
    <w:rsid w:val="00EA4128"/>
    <w:rsid w:val="00EA69C7"/>
    <w:rsid w:val="00EB7935"/>
    <w:rsid w:val="00EC221C"/>
    <w:rsid w:val="00EC306F"/>
    <w:rsid w:val="00ED0A11"/>
    <w:rsid w:val="00EE27DE"/>
    <w:rsid w:val="00EE45BF"/>
    <w:rsid w:val="00EE4FD1"/>
    <w:rsid w:val="00F021DA"/>
    <w:rsid w:val="00F16A46"/>
    <w:rsid w:val="00F20144"/>
    <w:rsid w:val="00F56DF2"/>
    <w:rsid w:val="00F6351A"/>
    <w:rsid w:val="00F65D5F"/>
    <w:rsid w:val="00F81E7F"/>
    <w:rsid w:val="00F84E2C"/>
    <w:rsid w:val="00F904B2"/>
    <w:rsid w:val="00F90505"/>
    <w:rsid w:val="00FA01A8"/>
    <w:rsid w:val="00FA133E"/>
    <w:rsid w:val="00FA5BD5"/>
    <w:rsid w:val="00FA5CF2"/>
    <w:rsid w:val="00FB7DA0"/>
    <w:rsid w:val="00FC1BEE"/>
    <w:rsid w:val="00FC60B7"/>
    <w:rsid w:val="00FD0650"/>
    <w:rsid w:val="00FE0F98"/>
    <w:rsid w:val="00FE28FC"/>
    <w:rsid w:val="00FF2BC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D94592"/>
  <w15:docId w15:val="{0AB42A77-5BDE-4AFB-9E55-6E4255C1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492"/>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pPr>
      <w:keepNext/>
      <w:keepLines/>
      <w:spacing w:after="0" w:line="240" w:lineRule="auto"/>
      <w:ind w:right="0"/>
      <w:jc w:val="left"/>
      <w:outlineLvl w:val="0"/>
    </w:pPr>
  </w:style>
  <w:style w:type="paragraph" w:styleId="Heading2">
    <w:name w:val="heading 2"/>
    <w:basedOn w:val="Normal"/>
    <w:next w:val="Normal"/>
    <w:link w:val="Heading2Char"/>
    <w:semiHidden/>
    <w:qFormat/>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semiHidden/>
    <w:qFormat/>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semiHidden/>
    <w:qFormat/>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semiHidden/>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semiHidden/>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rPr>
      <w:rFonts w:ascii="Times New Roman" w:hAnsi="Times New Roman" w:cs="Times New Roman"/>
      <w:b/>
      <w:sz w:val="18"/>
      <w:szCs w:val="20"/>
      <w:lang w:val="en-GB"/>
    </w:rPr>
  </w:style>
  <w:style w:type="paragraph" w:styleId="Footer">
    <w:name w:val="footer"/>
    <w:aliases w:val="3_G"/>
    <w:basedOn w:val="Normal"/>
    <w:link w:val="FooterChar"/>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link w:val="H1GChar"/>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21"/>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22"/>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23"/>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fusnot Char,BVI fnr,ftref,16 Point,Superscript 6 Point,nota pié di pagina,Footnote symbol,Footnote reference number,Times 10 Point,Exposant 3 Point,EN Footnote Reference,note TESI,Footnote Reference Char Char Char,Ref,callout"/>
    <w:basedOn w:val="DefaultParagraphFont"/>
    <w:link w:val="BVIfnrChar"/>
    <w:qFormat/>
    <w:rPr>
      <w:rFonts w:ascii="Times New Roman" w:hAnsi="Times New Roman"/>
      <w:sz w:val="18"/>
      <w:vertAlign w:val="superscript"/>
      <w:lang w:val="en-GB"/>
    </w:rPr>
  </w:style>
  <w:style w:type="character" w:styleId="EndnoteReference">
    <w:name w:val="endnote reference"/>
    <w:aliases w:val="1_G"/>
    <w:basedOn w:val="FootnoteReference"/>
    <w:qFormat/>
    <w:rPr>
      <w:rFonts w:ascii="Times New Roman" w:hAnsi="Times New Roman"/>
      <w:sz w:val="18"/>
      <w:vertAlign w:val="superscript"/>
      <w:lang w:val="en-GB"/>
    </w:rPr>
  </w:style>
  <w:style w:type="table" w:styleId="TableGrid">
    <w:name w:val="Table Grid"/>
    <w:basedOn w:val="TableNormal"/>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Pr>
      <w:color w:val="0000FF"/>
      <w:u w:val="none"/>
    </w:rPr>
  </w:style>
  <w:style w:type="character" w:styleId="FollowedHyperlink">
    <w:name w:val="FollowedHyperlink"/>
    <w:basedOn w:val="DefaultParagraphFont"/>
    <w:semiHidden/>
    <w:rPr>
      <w:color w:val="0000FF"/>
      <w:u w:val="none"/>
    </w:rPr>
  </w:style>
  <w:style w:type="paragraph" w:styleId="FootnoteText">
    <w:name w:val="footnote text"/>
    <w:aliases w:val="5_G,Footnote Text Char Char Char,Footnote Text Char Char,Fußnote,Footnote,Footnote Text Char1 Char,Footnote Text Char1 Char Char Char,Footnote Text Char Char Char Char Char,Footnote Text Char1 Char1 Char,fn,Reference,A,ft,f,ADB,F1,Char2"/>
    <w:basedOn w:val="Normal"/>
    <w:link w:val="FootnoteTextChar"/>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Footnote Text Char Char Char Char,Footnote Text Char Char Char1,Fußnote Char,Footnote Char,Footnote Text Char1 Char Char,Footnote Text Char1 Char Char Char Char,Footnote Text Char Char Char Char Char Char,fn Char,A Char"/>
    <w:basedOn w:val="DefaultParagraphFont"/>
    <w:link w:val="FootnoteText"/>
    <w:qFormat/>
    <w:rPr>
      <w:rFonts w:ascii="Times New Roman" w:hAnsi="Times New Roman" w:cs="Times New Roman"/>
      <w:sz w:val="18"/>
      <w:szCs w:val="20"/>
      <w:lang w:val="en-GB"/>
    </w:rPr>
  </w:style>
  <w:style w:type="paragraph" w:styleId="EndnoteText">
    <w:name w:val="endnote text"/>
    <w:aliases w:val="2_G"/>
    <w:basedOn w:val="FootnoteText"/>
    <w:link w:val="EndnoteTextChar"/>
    <w:qFormat/>
  </w:style>
  <w:style w:type="character" w:customStyle="1" w:styleId="EndnoteTextChar">
    <w:name w:val="Endnote Text Char"/>
    <w:aliases w:val="2_G Char"/>
    <w:basedOn w:val="DefaultParagraphFont"/>
    <w:link w:val="EndnoteText"/>
    <w:rPr>
      <w:rFonts w:ascii="Times New Roman" w:hAnsi="Times New Roman" w:cs="Times New Roman"/>
      <w:sz w:val="18"/>
      <w:szCs w:val="20"/>
      <w:lang w:val="en-GB"/>
    </w:rPr>
  </w:style>
  <w:style w:type="character" w:styleId="PageNumber">
    <w:name w:val="page number"/>
    <w:aliases w:val="7_G"/>
    <w:basedOn w:val="DefaultParagraphFont"/>
    <w:qFormat/>
    <w:rPr>
      <w:rFonts w:ascii="Times New Roman" w:hAnsi="Times New Roman"/>
      <w:b/>
      <w:sz w:val="18"/>
      <w:lang w:val="en-GB"/>
    </w:rPr>
  </w:style>
  <w:style w:type="character" w:customStyle="1" w:styleId="Heading1Char">
    <w:name w:val="Heading 1 Char"/>
    <w:aliases w:val="Table_G Char"/>
    <w:basedOn w:val="DefaultParagraphFont"/>
    <w:link w:val="Heading1"/>
    <w:rPr>
      <w:rFonts w:ascii="Times New Roman" w:hAnsi="Times New Roman" w:cs="Times New Roman"/>
      <w:sz w:val="20"/>
      <w:szCs w:val="20"/>
    </w:rPr>
  </w:style>
  <w:style w:type="character" w:customStyle="1" w:styleId="Heading2Char">
    <w:name w:val="Heading 2 Char"/>
    <w:basedOn w:val="DefaultParagraphFont"/>
    <w:link w:val="Heading2"/>
    <w:semiHidden/>
    <w:rPr>
      <w:rFonts w:ascii="Times New Roman" w:hAnsi="Times New Roman" w:cs="Times New Roman"/>
      <w:sz w:val="20"/>
      <w:szCs w:val="20"/>
    </w:rPr>
  </w:style>
  <w:style w:type="character" w:customStyle="1" w:styleId="Heading3Char">
    <w:name w:val="Heading 3 Char"/>
    <w:basedOn w:val="DefaultParagraphFont"/>
    <w:link w:val="Heading3"/>
    <w:semiHidden/>
    <w:rPr>
      <w:rFonts w:ascii="Times New Roman" w:hAnsi="Times New Roman" w:cs="Times New Roman"/>
      <w:sz w:val="20"/>
      <w:szCs w:val="20"/>
    </w:rPr>
  </w:style>
  <w:style w:type="character" w:customStyle="1" w:styleId="Heading4Char">
    <w:name w:val="Heading 4 Char"/>
    <w:basedOn w:val="DefaultParagraphFont"/>
    <w:link w:val="Heading4"/>
    <w:semiHidden/>
    <w:rPr>
      <w:rFonts w:ascii="Times New Roman" w:hAnsi="Times New Roman" w:cs="Times New Roman"/>
      <w:sz w:val="20"/>
      <w:szCs w:val="20"/>
    </w:rPr>
  </w:style>
  <w:style w:type="character" w:customStyle="1" w:styleId="Heading5Char">
    <w:name w:val="Heading 5 Char"/>
    <w:basedOn w:val="DefaultParagraphFont"/>
    <w:link w:val="Heading5"/>
    <w:semiHidden/>
    <w:rPr>
      <w:rFonts w:ascii="Times New Roman" w:hAnsi="Times New Roman" w:cs="Times New Roman"/>
      <w:sz w:val="20"/>
      <w:szCs w:val="20"/>
    </w:rPr>
  </w:style>
  <w:style w:type="character" w:customStyle="1" w:styleId="Heading6Char">
    <w:name w:val="Heading 6 Char"/>
    <w:basedOn w:val="DefaultParagraphFont"/>
    <w:link w:val="Heading6"/>
    <w:semiHidden/>
    <w:rPr>
      <w:rFonts w:ascii="Times New Roman" w:hAnsi="Times New Roman" w:cs="Times New Roman"/>
      <w:sz w:val="20"/>
      <w:szCs w:val="20"/>
    </w:rPr>
  </w:style>
  <w:style w:type="character" w:customStyle="1" w:styleId="Heading7Char">
    <w:name w:val="Heading 7 Char"/>
    <w:basedOn w:val="DefaultParagraphFont"/>
    <w:link w:val="Heading7"/>
    <w:semiHidden/>
    <w:rPr>
      <w:rFonts w:ascii="Times New Roman" w:hAnsi="Times New Roman" w:cs="Times New Roman"/>
      <w:sz w:val="20"/>
      <w:szCs w:val="20"/>
    </w:rPr>
  </w:style>
  <w:style w:type="character" w:customStyle="1" w:styleId="Heading8Char">
    <w:name w:val="Heading 8 Char"/>
    <w:basedOn w:val="DefaultParagraphFont"/>
    <w:link w:val="Heading8"/>
    <w:semiHidden/>
    <w:rPr>
      <w:rFonts w:ascii="Times New Roman" w:hAnsi="Times New Roman" w:cs="Times New Roman"/>
      <w:sz w:val="20"/>
      <w:szCs w:val="20"/>
    </w:rPr>
  </w:style>
  <w:style w:type="character" w:customStyle="1" w:styleId="Heading9Char">
    <w:name w:val="Heading 9 Char"/>
    <w:basedOn w:val="DefaultParagraphFont"/>
    <w:link w:val="Heading9"/>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numbering" w:styleId="111111">
    <w:name w:val="Outline List 2"/>
    <w:basedOn w:val="NoList"/>
    <w:semiHidden/>
    <w:pPr>
      <w:numPr>
        <w:numId w:val="18"/>
      </w:numPr>
    </w:pPr>
  </w:style>
  <w:style w:type="numbering" w:styleId="1ai">
    <w:name w:val="Outline List 1"/>
    <w:basedOn w:val="NoList"/>
    <w:semiHidden/>
    <w:pPr>
      <w:numPr>
        <w:numId w:val="20"/>
      </w:numPr>
    </w:pPr>
  </w:style>
  <w:style w:type="character" w:customStyle="1" w:styleId="SingleTxtGChar">
    <w:name w:val="_ Single Txt_G Char"/>
    <w:link w:val="SingleTxtG"/>
    <w:locked/>
    <w:rPr>
      <w:rFonts w:ascii="Times New Roman" w:hAnsi="Times New Roman" w:cs="Times New Roman"/>
      <w:sz w:val="20"/>
      <w:szCs w:val="20"/>
      <w:lang w:val="en-GB"/>
    </w:rPr>
  </w:style>
  <w:style w:type="table" w:customStyle="1" w:styleId="TableGrid1">
    <w:name w:val="Table Grid1"/>
    <w:basedOn w:val="TableNorma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1GChar">
    <w:name w:val="_ H_1_G Char"/>
    <w:link w:val="H1G"/>
    <w:locked/>
    <w:rsid w:val="001E09B0"/>
    <w:rPr>
      <w:rFonts w:ascii="Times New Roman" w:hAnsi="Times New Roman" w:cs="Times New Roman"/>
      <w:b/>
      <w:sz w:val="24"/>
      <w:szCs w:val="20"/>
      <w:lang w:val="en-GB"/>
    </w:rPr>
  </w:style>
  <w:style w:type="paragraph" w:customStyle="1" w:styleId="BVIfnrChar">
    <w:name w:val="BVI fnr Char"/>
    <w:aliases w:val="ftref Char,16 Point Char,Superscript 6 Point Char,Footnotes refss Char,Footnote Reference Number Char,nota pié di pagina Char,Times 10 Point Char, Exposant 3 Point Char,Footnote symbol Char,Footnote reference number Char"/>
    <w:basedOn w:val="Normal"/>
    <w:link w:val="FootnoteReference"/>
    <w:rsid w:val="009B1D66"/>
    <w:pPr>
      <w:suppressAutoHyphens w:val="0"/>
      <w:spacing w:after="160" w:line="240" w:lineRule="exact"/>
    </w:pPr>
    <w:rPr>
      <w:rFonts w:eastAsiaTheme="minorHAnsi" w:cstheme="minorBidi"/>
      <w:sz w:val="18"/>
      <w:szCs w:val="22"/>
      <w:vertAlign w:val="superscript"/>
    </w:rPr>
  </w:style>
  <w:style w:type="paragraph" w:styleId="NoSpacing">
    <w:name w:val="No Spacing"/>
    <w:uiPriority w:val="1"/>
    <w:qFormat/>
    <w:rsid w:val="00CE0976"/>
    <w:pPr>
      <w:spacing w:after="0" w:line="240" w:lineRule="auto"/>
    </w:pPr>
    <w:rPr>
      <w:rFonts w:ascii="Arial" w:hAnsi="Arial"/>
      <w:sz w:val="24"/>
      <w:lang w:val="de-DE"/>
    </w:rPr>
  </w:style>
  <w:style w:type="paragraph" w:customStyle="1" w:styleId="FootnoteReferenceAltR">
    <w:name w:val="Footnote Reference (Alt+R)"/>
    <w:aliases w:val="Fn Ref,Footnotes refss"/>
    <w:basedOn w:val="Normal"/>
    <w:uiPriority w:val="99"/>
    <w:rsid w:val="00CE0976"/>
    <w:pPr>
      <w:suppressAutoHyphens w:val="0"/>
      <w:spacing w:after="160" w:line="240" w:lineRule="exact"/>
    </w:pPr>
    <w:rPr>
      <w:rFonts w:asciiTheme="minorHAnsi" w:eastAsiaTheme="minorHAnsi" w:hAnsiTheme="minorHAnsi" w:cstheme="minorBidi"/>
      <w:sz w:val="22"/>
      <w:szCs w:val="22"/>
      <w:vertAlign w:val="superscript"/>
      <w:lang w:val="de-DE"/>
    </w:rPr>
  </w:style>
  <w:style w:type="character" w:customStyle="1" w:styleId="tlid-translation">
    <w:name w:val="tlid-translation"/>
    <w:basedOn w:val="DefaultParagraphFont"/>
    <w:rsid w:val="00605CB7"/>
  </w:style>
  <w:style w:type="paragraph" w:styleId="NormalWeb">
    <w:name w:val="Normal (Web)"/>
    <w:basedOn w:val="Normal"/>
    <w:uiPriority w:val="99"/>
    <w:unhideWhenUsed/>
    <w:rsid w:val="008117A6"/>
    <w:pPr>
      <w:suppressAutoHyphens w:val="0"/>
      <w:spacing w:before="100" w:beforeAutospacing="1" w:after="100" w:afterAutospacing="1" w:line="240" w:lineRule="auto"/>
    </w:pPr>
    <w:rPr>
      <w:sz w:val="24"/>
      <w:szCs w:val="24"/>
      <w:lang w:val="de-DE" w:eastAsia="de-DE"/>
    </w:rPr>
  </w:style>
  <w:style w:type="paragraph" w:styleId="ListParagraph">
    <w:name w:val="List Paragraph"/>
    <w:aliases w:val="Fünf,Paragrafo elenco,Akapit z listą BS,List Paragraph1"/>
    <w:basedOn w:val="Normal"/>
    <w:link w:val="ListParagraphChar"/>
    <w:uiPriority w:val="34"/>
    <w:qFormat/>
    <w:rsid w:val="00B64E71"/>
    <w:pPr>
      <w:suppressAutoHyphens w:val="0"/>
      <w:spacing w:line="240" w:lineRule="auto"/>
      <w:ind w:left="720"/>
      <w:contextualSpacing/>
    </w:pPr>
    <w:rPr>
      <w:sz w:val="24"/>
      <w:szCs w:val="24"/>
      <w:lang w:val="de-DE" w:eastAsia="de-DE"/>
    </w:rPr>
  </w:style>
  <w:style w:type="character" w:customStyle="1" w:styleId="ListParagraphChar">
    <w:name w:val="List Paragraph Char"/>
    <w:aliases w:val="Fünf Char,Paragrafo elenco Char,Akapit z listą BS Char,List Paragraph1 Char"/>
    <w:basedOn w:val="DefaultParagraphFont"/>
    <w:link w:val="ListParagraph"/>
    <w:uiPriority w:val="34"/>
    <w:rsid w:val="00B64E71"/>
    <w:rPr>
      <w:rFonts w:ascii="Times New Roman" w:eastAsia="Times New Roman" w:hAnsi="Times New Roman" w:cs="Times New Roman"/>
      <w:sz w:val="24"/>
      <w:szCs w:val="24"/>
      <w:lang w:val="de-DE" w:eastAsia="de-DE"/>
    </w:rPr>
  </w:style>
  <w:style w:type="paragraph" w:customStyle="1" w:styleId="ydp4bb172msolistparagraph">
    <w:name w:val="ydp4bb172msolistparagraph"/>
    <w:basedOn w:val="Normal"/>
    <w:rsid w:val="00CB42A5"/>
    <w:pPr>
      <w:suppressAutoHyphens w:val="0"/>
      <w:spacing w:before="100" w:beforeAutospacing="1" w:after="100" w:afterAutospacing="1" w:line="240" w:lineRule="auto"/>
    </w:pPr>
    <w:rPr>
      <w:rFonts w:eastAsiaTheme="minorEastAsia"/>
      <w:sz w:val="24"/>
      <w:szCs w:val="24"/>
      <w:lang w:eastAsia="ko-KR"/>
    </w:rPr>
  </w:style>
  <w:style w:type="character" w:customStyle="1" w:styleId="jlqj4b">
    <w:name w:val="jlqj4b"/>
    <w:rsid w:val="008117F2"/>
  </w:style>
  <w:style w:type="paragraph" w:customStyle="1" w:styleId="gmail-m-4305407749882071552msolistparagraph">
    <w:name w:val="gmail-m_-4305407749882071552msolistparagraph"/>
    <w:basedOn w:val="Normal"/>
    <w:rsid w:val="005F40DE"/>
    <w:pPr>
      <w:suppressAutoHyphens w:val="0"/>
      <w:spacing w:before="100" w:beforeAutospacing="1" w:after="100" w:afterAutospacing="1" w:line="240" w:lineRule="auto"/>
    </w:pPr>
    <w:rPr>
      <w:rFonts w:eastAsiaTheme="minorEastAsia"/>
      <w:sz w:val="24"/>
      <w:szCs w:val="24"/>
      <w:lang w:eastAsia="ko-KR"/>
    </w:rPr>
  </w:style>
  <w:style w:type="character" w:styleId="CommentReference">
    <w:name w:val="annotation reference"/>
    <w:basedOn w:val="DefaultParagraphFont"/>
    <w:uiPriority w:val="99"/>
    <w:semiHidden/>
    <w:unhideWhenUsed/>
    <w:rsid w:val="00D32D99"/>
    <w:rPr>
      <w:sz w:val="16"/>
      <w:szCs w:val="16"/>
    </w:rPr>
  </w:style>
  <w:style w:type="paragraph" w:styleId="CommentText">
    <w:name w:val="annotation text"/>
    <w:basedOn w:val="Normal"/>
    <w:link w:val="CommentTextChar"/>
    <w:uiPriority w:val="99"/>
    <w:unhideWhenUsed/>
    <w:rsid w:val="00D32D99"/>
    <w:pPr>
      <w:spacing w:line="240" w:lineRule="auto"/>
    </w:pPr>
  </w:style>
  <w:style w:type="character" w:customStyle="1" w:styleId="CommentTextChar">
    <w:name w:val="Comment Text Char"/>
    <w:basedOn w:val="DefaultParagraphFont"/>
    <w:link w:val="CommentText"/>
    <w:uiPriority w:val="99"/>
    <w:rsid w:val="00D32D9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32D99"/>
    <w:rPr>
      <w:b/>
      <w:bCs/>
    </w:rPr>
  </w:style>
  <w:style w:type="character" w:customStyle="1" w:styleId="CommentSubjectChar">
    <w:name w:val="Comment Subject Char"/>
    <w:basedOn w:val="CommentTextChar"/>
    <w:link w:val="CommentSubject"/>
    <w:uiPriority w:val="99"/>
    <w:semiHidden/>
    <w:rsid w:val="00D32D99"/>
    <w:rPr>
      <w:rFonts w:ascii="Times New Roman" w:eastAsia="Times New Roman" w:hAnsi="Times New Roman" w:cs="Times New Roman"/>
      <w:b/>
      <w:bCs/>
      <w:sz w:val="20"/>
      <w:szCs w:val="20"/>
      <w:lang w:val="en-GB"/>
    </w:rPr>
  </w:style>
  <w:style w:type="paragraph" w:styleId="Revision">
    <w:name w:val="Revision"/>
    <w:hidden/>
    <w:uiPriority w:val="99"/>
    <w:semiHidden/>
    <w:rsid w:val="00E46E80"/>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8787">
      <w:bodyDiv w:val="1"/>
      <w:marLeft w:val="0"/>
      <w:marRight w:val="0"/>
      <w:marTop w:val="0"/>
      <w:marBottom w:val="0"/>
      <w:divBdr>
        <w:top w:val="none" w:sz="0" w:space="0" w:color="auto"/>
        <w:left w:val="none" w:sz="0" w:space="0" w:color="auto"/>
        <w:bottom w:val="none" w:sz="0" w:space="0" w:color="auto"/>
        <w:right w:val="none" w:sz="0" w:space="0" w:color="auto"/>
      </w:divBdr>
    </w:div>
    <w:div w:id="1015500595">
      <w:bodyDiv w:val="1"/>
      <w:marLeft w:val="0"/>
      <w:marRight w:val="0"/>
      <w:marTop w:val="0"/>
      <w:marBottom w:val="0"/>
      <w:divBdr>
        <w:top w:val="none" w:sz="0" w:space="0" w:color="auto"/>
        <w:left w:val="none" w:sz="0" w:space="0" w:color="auto"/>
        <w:bottom w:val="none" w:sz="0" w:space="0" w:color="auto"/>
        <w:right w:val="none" w:sz="0" w:space="0" w:color="auto"/>
      </w:divBdr>
    </w:div>
    <w:div w:id="1085301691">
      <w:bodyDiv w:val="1"/>
      <w:marLeft w:val="0"/>
      <w:marRight w:val="0"/>
      <w:marTop w:val="0"/>
      <w:marBottom w:val="0"/>
      <w:divBdr>
        <w:top w:val="none" w:sz="0" w:space="0" w:color="auto"/>
        <w:left w:val="none" w:sz="0" w:space="0" w:color="auto"/>
        <w:bottom w:val="none" w:sz="0" w:space="0" w:color="auto"/>
        <w:right w:val="none" w:sz="0" w:space="0" w:color="auto"/>
      </w:divBdr>
    </w:div>
    <w:div w:id="18053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tbinternet.ohchr.org/_layouts/15/treatybodyexternal/Download.aspx?symbolno=E%2fC.12%2f2022%2fSR.14&amp;Lang=en" TargetMode="External"/><Relationship Id="rId2" Type="http://schemas.openxmlformats.org/officeDocument/2006/relationships/hyperlink" Target="https://tbinternet.ohchr.org/_layouts/15/treatybodyexternal/Download.aspx?symbolno=E%2fC.12%2f2022%2fSR.12&amp;Lang=en" TargetMode="External"/><Relationship Id="rId1" Type="http://schemas.openxmlformats.org/officeDocument/2006/relationships/hyperlink" Target="https://tbinternet.ohchr.org/_layouts/15/treatybodyexternal/Download.aspx?symbolno=E%2fC.12%2fSRB%2f3&amp;Lang=en" TargetMode="External"/><Relationship Id="rId6" Type="http://schemas.openxmlformats.org/officeDocument/2006/relationships/hyperlink" Target="https://undocs.org/en/S/RES/1244%20(1999)" TargetMode="External"/><Relationship Id="rId5" Type="http://schemas.openxmlformats.org/officeDocument/2006/relationships/hyperlink" Target="https://tbinternet.ohchr.org/_layouts/15/treatybodyexternal/Download.aspx?symbolno=E%2fC.12%2fSRB%2fRQ%2f3&amp;Lang=en" TargetMode="External"/><Relationship Id="rId4" Type="http://schemas.openxmlformats.org/officeDocument/2006/relationships/hyperlink" Target="https://tbinternet.ohchr.org/_layouts/15/treatybodyexternal/Download.aspx?symbolno=E%2fC.12%2f2022%2fSR.16&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46AB3680AD04583FFC0D2A3BEC2EA" ma:contentTypeVersion="0" ma:contentTypeDescription="Create a new document." ma:contentTypeScope="" ma:versionID="605d714aae7fb165c45759dfa1df7b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DDAE-44B3-4762-BB5C-C049C10EC1D9}"/>
</file>

<file path=customXml/itemProps2.xml><?xml version="1.0" encoding="utf-8"?>
<ds:datastoreItem xmlns:ds="http://schemas.openxmlformats.org/officeDocument/2006/customXml" ds:itemID="{395207CF-E480-4FA2-9F09-499CA73DB9B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A874F57-420D-4621-8173-D945B4C9B7D9}">
  <ds:schemaRefs>
    <ds:schemaRef ds:uri="http://schemas.microsoft.com/sharepoint/v3/contenttype/forms"/>
  </ds:schemaRefs>
</ds:datastoreItem>
</file>

<file path=customXml/itemProps4.xml><?xml version="1.0" encoding="utf-8"?>
<ds:datastoreItem xmlns:ds="http://schemas.openxmlformats.org/officeDocument/2006/customXml" ds:itemID="{B749F9AA-020E-4487-A2B1-AB2A6AF6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6052</Words>
  <Characters>34502</Characters>
  <Application>Microsoft Office Word</Application>
  <DocSecurity>0</DocSecurity>
  <Lines>287</Lines>
  <Paragraphs>80</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ector>
  </HeadingPairs>
  <TitlesOfParts>
    <vt:vector size="4" baseType="lpstr">
      <vt:lpstr>E/C.12/CZE/CO/R.3</vt:lpstr>
      <vt:lpstr>E/C.12/CZE/CO/R.3</vt:lpstr>
      <vt:lpstr>E/C.12/CZE/CO/R.3</vt:lpstr>
      <vt:lpstr/>
    </vt:vector>
  </TitlesOfParts>
  <Company>DCM</Company>
  <LinksUpToDate>false</LinksUpToDate>
  <CharactersWithSpaces>40474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E/C.12/CZE/CO/R.3</dc:title>
  <dc:subject/>
  <dc:creator>Gloria</dc:creator>
  <cp:keywords/>
  <dc:description/>
  <cp:lastModifiedBy>REYNAUD Céline</cp:lastModifiedBy>
  <cp:revision>11</cp:revision>
  <cp:lastPrinted>2017-10-25T12:09:00Z</cp:lastPrinted>
  <dcterms:created xsi:type="dcterms:W3CDTF">2022-03-03T11:49:00Z</dcterms:created>
  <dcterms:modified xsi:type="dcterms:W3CDTF">2022-03-07T14:56:00Z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[NUMBER]</vt:lpwstr>
  </property>
  <property fmtid="{D5CDD505-2E9C-101B-9397-08002B2CF9AE}" pid="3" name="atitle">
    <vt:lpwstr>[Title]</vt:lpwstr>
  </property>
  <property fmtid="{D5CDD505-2E9C-101B-9397-08002B2CF9AE}" pid="4" name="Author">
    <vt:lpwstr/>
  </property>
  <property fmtid="{D5CDD505-2E9C-101B-9397-08002B2CF9AE}" pid="5" name="bar">
    <vt:lpwstr/>
  </property>
  <property fmtid="{D5CDD505-2E9C-101B-9397-08002B2CF9AE}" pid="6" name="category">
    <vt:lpwstr>CESCR</vt:lpwstr>
  </property>
  <property fmtid="{D5CDD505-2E9C-101B-9397-08002B2CF9AE}" pid="7" name="ContentTypeId">
    <vt:lpwstr>0x010100B5446AB3680AD04583FFC0D2A3BEC2EA</vt:lpwstr>
  </property>
  <property fmtid="{D5CDD505-2E9C-101B-9397-08002B2CF9AE}" pid="8" name="count">
    <vt:lpwstr>Czech Republic</vt:lpwstr>
  </property>
  <property fmtid="{D5CDD505-2E9C-101B-9397-08002B2CF9AE}" pid="9" name="countw">
    <vt:lpwstr>Czech Republic</vt:lpwstr>
  </property>
  <property fmtid="{D5CDD505-2E9C-101B-9397-08002B2CF9AE}" pid="10" name="countwd">
    <vt:lpwstr>Czech Republic</vt:lpwstr>
  </property>
  <property fmtid="{D5CDD505-2E9C-101B-9397-08002B2CF9AE}" pid="11" name="date">
    <vt:lpwstr>5 January 2022</vt:lpwstr>
  </property>
  <property fmtid="{D5CDD505-2E9C-101B-9397-08002B2CF9AE}" pid="12" name="Date-Generated">
    <vt:filetime>2022-01-06T08:35:41Z</vt:filetime>
  </property>
  <property fmtid="{D5CDD505-2E9C-101B-9397-08002B2CF9AE}" pid="13" name="dist">
    <vt:lpwstr>Restricted</vt:lpwstr>
  </property>
  <property fmtid="{D5CDD505-2E9C-101B-9397-08002B2CF9AE}" pid="14" name="doctype">
    <vt:lpwstr>Draft</vt:lpwstr>
  </property>
  <property fmtid="{D5CDD505-2E9C-101B-9397-08002B2CF9AE}" pid="15" name="Entity">
    <vt:lpwstr>Concluding observations</vt:lpwstr>
  </property>
  <property fmtid="{D5CDD505-2E9C-101B-9397-08002B2CF9AE}" pid="16" name="gdoc">
    <vt:lpwstr/>
  </property>
  <property fmtid="{D5CDD505-2E9C-101B-9397-08002B2CF9AE}" pid="17" name="gdocf">
    <vt:lpwstr/>
  </property>
  <property fmtid="{D5CDD505-2E9C-101B-9397-08002B2CF9AE}" pid="18" name="Nmeet">
    <vt:lpwstr>Number</vt:lpwstr>
  </property>
  <property fmtid="{D5CDD505-2E9C-101B-9397-08002B2CF9AE}" pid="19" name="olang">
    <vt:lpwstr>English</vt:lpwstr>
  </property>
  <property fmtid="{D5CDD505-2E9C-101B-9397-08002B2CF9AE}" pid="20" name="Order">
    <vt:r8>164800</vt:r8>
  </property>
  <property fmtid="{D5CDD505-2E9C-101B-9397-08002B2CF9AE}" pid="21" name="Org">
    <vt:lpwstr>OHCHR</vt:lpwstr>
  </property>
  <property fmtid="{D5CDD505-2E9C-101B-9397-08002B2CF9AE}" pid="22" name="prep">
    <vt:lpwstr>third periodic report of Czech Republic</vt:lpwstr>
  </property>
  <property fmtid="{D5CDD505-2E9C-101B-9397-08002B2CF9AE}" pid="23" name="preps">
    <vt:lpwstr>third periodic report of Czech Republic</vt:lpwstr>
  </property>
  <property fmtid="{D5CDD505-2E9C-101B-9397-08002B2CF9AE}" pid="24" name="prepw">
    <vt:lpwstr>third periodic report</vt:lpwstr>
  </property>
  <property fmtid="{D5CDD505-2E9C-101B-9397-08002B2CF9AE}" pid="25" name="prepwc">
    <vt:lpwstr>Third periodic report </vt:lpwstr>
  </property>
  <property fmtid="{D5CDD505-2E9C-101B-9397-08002B2CF9AE}" pid="26" name="prepws">
    <vt:lpwstr>third periodic report</vt:lpwstr>
  </property>
  <property fmtid="{D5CDD505-2E9C-101B-9397-08002B2CF9AE}" pid="27" name="sdate">
    <vt:lpwstr>[Start-End Dates]</vt:lpwstr>
  </property>
  <property fmtid="{D5CDD505-2E9C-101B-9397-08002B2CF9AE}" pid="28" name="snum">
    <vt:lpwstr>[NUMBER]</vt:lpwstr>
  </property>
  <property fmtid="{D5CDD505-2E9C-101B-9397-08002B2CF9AE}" pid="29" name="stitle">
    <vt:lpwstr>[Title]</vt:lpwstr>
  </property>
  <property fmtid="{D5CDD505-2E9C-101B-9397-08002B2CF9AE}" pid="30" name="sym1">
    <vt:lpwstr>C.12/CZE/CO/R.3</vt:lpwstr>
  </property>
  <property fmtid="{D5CDD505-2E9C-101B-9397-08002B2CF9AE}" pid="31" name="symh">
    <vt:lpwstr>E/C.12/CZE/CO/R.3</vt:lpwstr>
  </property>
  <property fmtid="{D5CDD505-2E9C-101B-9397-08002B2CF9AE}" pid="32" name="Title">
    <vt:lpwstr>E/C.12/CZE/CO/R.3</vt:lpwstr>
  </property>
  <property fmtid="{D5CDD505-2E9C-101B-9397-08002B2CF9AE}" pid="33" name="tlang">
    <vt:lpwstr/>
  </property>
  <property fmtid="{D5CDD505-2E9C-101B-9397-08002B2CF9AE}" pid="34" name="virs">
    <vt:lpwstr>English, French and Spanish only</vt:lpwstr>
  </property>
</Properties>
</file>