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C0" w:rsidRPr="00A45035" w:rsidRDefault="007C36C0">
      <w:pPr>
        <w:spacing w:before="9"/>
        <w:rPr>
          <w:rFonts w:ascii="Times New Roman" w:eastAsia="Times New Roman" w:hAnsi="Times New Roman" w:cs="Times New Roman"/>
          <w:sz w:val="6"/>
          <w:szCs w:val="6"/>
          <w:lang w:val="en-US"/>
        </w:rPr>
      </w:pPr>
      <w:bookmarkStart w:id="0" w:name="_GoBack"/>
      <w:bookmarkEnd w:id="0"/>
    </w:p>
    <w:p w:rsidR="007C36C0" w:rsidRPr="00273BF4" w:rsidRDefault="0098228A">
      <w:pPr>
        <w:spacing w:line="20" w:lineRule="exact"/>
        <w:ind w:left="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482.5pt;height:.5pt;mso-position-horizontal-relative:char;mso-position-vertical-relative:line" coordsize="9650,10">
            <v:group id="_x0000_s1062" style="position:absolute;left:5;top:5;width:1261;height:2" coordorigin="5,5" coordsize="1261,2">
              <v:shape id="_x0000_s1063" style="position:absolute;left:5;top:5;width:1261;height:2" coordorigin="5,5" coordsize="1261,0" path="m5,5r1260,e" filled="f" strokeweight=".48pt">
                <v:path arrowok="t"/>
              </v:shape>
            </v:group>
            <v:group id="_x0000_s1060" style="position:absolute;left:1265;top:5;width:10;height:2" coordorigin="1265,5" coordsize="10,2">
              <v:shape id="_x0000_s1061" style="position:absolute;left:1265;top:5;width:10;height:2" coordorigin="1265,5" coordsize="10,0" path="m1265,5r10,e" filled="f" strokeweight=".48pt">
                <v:path arrowok="t"/>
              </v:shape>
            </v:group>
            <v:group id="_x0000_s1058" style="position:absolute;left:1275;top:5;width:2226;height:2" coordorigin="1275,5" coordsize="2226,2">
              <v:shape id="_x0000_s1059" style="position:absolute;left:1275;top:5;width:2226;height:2" coordorigin="1275,5" coordsize="2226,0" path="m1275,5r2225,e" filled="f" strokeweight=".48pt">
                <v:path arrowok="t"/>
              </v:shape>
            </v:group>
            <v:group id="_x0000_s1056" style="position:absolute;left:3500;top:5;width:10;height:2" coordorigin="3500,5" coordsize="10,2">
              <v:shape id="_x0000_s1057" style="position:absolute;left:3500;top:5;width:10;height:2" coordorigin="3500,5" coordsize="10,0" path="m3500,5r10,e" filled="f" strokeweight=".48pt">
                <v:path arrowok="t"/>
              </v:shape>
            </v:group>
            <v:group id="_x0000_s1054" style="position:absolute;left:3510;top:5;width:3205;height:2" coordorigin="3510,5" coordsize="3205,2">
              <v:shape id="_x0000_s1055" style="position:absolute;left:3510;top:5;width:3205;height:2" coordorigin="3510,5" coordsize="3205,0" path="m3510,5r3204,e" filled="f" strokeweight=".48pt">
                <v:path arrowok="t"/>
              </v:shape>
            </v:group>
            <v:group id="_x0000_s1052" style="position:absolute;left:6714;top:5;width:10;height:2" coordorigin="6714,5" coordsize="10,2">
              <v:shape id="_x0000_s1053" style="position:absolute;left:6714;top:5;width:10;height:2" coordorigin="6714,5" coordsize="10,0" path="m6714,5r10,e" filled="f" strokeweight=".48pt">
                <v:path arrowok="t"/>
              </v:shape>
            </v:group>
            <v:group id="_x0000_s1050" style="position:absolute;left:6724;top:5;width:2922;height:2" coordorigin="6724,5" coordsize="2922,2">
              <v:shape id="_x0000_s1051" style="position:absolute;left:6724;top:5;width:2922;height:2" coordorigin="6724,5" coordsize="2922,0" path="m6724,5r2921,e" filled="f" strokeweight=".48pt">
                <v:path arrowok="t"/>
              </v:shape>
            </v:group>
            <w10:anchorlock/>
          </v:group>
        </w:pict>
      </w:r>
    </w:p>
    <w:p w:rsidR="007C36C0" w:rsidRPr="00273BF4" w:rsidRDefault="007C36C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7C36C0" w:rsidRPr="00273BF4" w:rsidRDefault="007D6E64" w:rsidP="00273BF4">
      <w:pPr>
        <w:spacing w:before="53"/>
        <w:ind w:left="1440" w:right="10"/>
        <w:rPr>
          <w:rFonts w:ascii="Times New Roman" w:eastAsia="Times New Roman" w:hAnsi="Times New Roman" w:cs="Times New Roman"/>
          <w:sz w:val="36"/>
          <w:szCs w:val="36"/>
        </w:rPr>
      </w:pPr>
      <w:r w:rsidRPr="00273BF4">
        <w:rPr>
          <w:rFonts w:ascii="Times New Roman" w:hAnsi="Times New Roman" w:cs="Times New Roman"/>
          <w:b/>
          <w:sz w:val="36"/>
        </w:rPr>
        <w:t>Прелиминарна нередигована верзија</w:t>
      </w:r>
    </w:p>
    <w:p w:rsidR="007C36C0" w:rsidRPr="00273BF4" w:rsidRDefault="007C36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6C0" w:rsidRPr="00273BF4" w:rsidRDefault="007C36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6C0" w:rsidRPr="00273BF4" w:rsidRDefault="007C36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6C0" w:rsidRPr="00273BF4" w:rsidRDefault="007C36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6C0" w:rsidRPr="00273BF4" w:rsidRDefault="007C36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6C0" w:rsidRPr="00273BF4" w:rsidRDefault="007C36C0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36C0" w:rsidRPr="00273BF4" w:rsidRDefault="0098228A">
      <w:pPr>
        <w:spacing w:line="28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84.2pt;height:1.45pt;mso-position-horizontal-relative:char;mso-position-vertical-relative:line" coordsize="9684,29">
            <v:group id="_x0000_s1047" style="position:absolute;left:14;top:14;width:1275;height:2" coordorigin="14,14" coordsize="1275,2">
              <v:shape id="_x0000_s1048" style="position:absolute;left:14;top:14;width:1275;height:2" coordorigin="14,14" coordsize="1275,0" path="m14,14r1275,e" filled="f" strokeweight="1.44pt">
                <v:path arrowok="t"/>
              </v:shape>
            </v:group>
            <v:group id="_x0000_s1045" style="position:absolute;left:1275;top:14;width:29;height:2" coordorigin="1275,14" coordsize="29,2">
              <v:shape id="_x0000_s1046" style="position:absolute;left:1275;top:14;width:29;height:2" coordorigin="1275,14" coordsize="29,0" path="m1275,14r29,e" filled="f" strokeweight="1.44pt">
                <v:path arrowok="t"/>
              </v:shape>
            </v:group>
            <v:group id="_x0000_s1043" style="position:absolute;left:1304;top:14;width:5435;height:2" coordorigin="1304,14" coordsize="5435,2">
              <v:shape id="_x0000_s1044" style="position:absolute;left:1304;top:14;width:5435;height:2" coordorigin="1304,14" coordsize="5435,0" path="m1304,14r5434,e" filled="f" strokeweight="1.44pt">
                <v:path arrowok="t"/>
              </v:shape>
            </v:group>
            <v:group id="_x0000_s1041" style="position:absolute;left:6724;top:14;width:29;height:2" coordorigin="6724,14" coordsize="29,2">
              <v:shape id="_x0000_s1042" style="position:absolute;left:6724;top:14;width:29;height:2" coordorigin="6724,14" coordsize="29,0" path="m6724,14r29,e" filled="f" strokeweight="1.44pt">
                <v:path arrowok="t"/>
              </v:shape>
            </v:group>
            <v:group id="_x0000_s1039" style="position:absolute;left:6753;top:14;width:2917;height:2" coordorigin="6753,14" coordsize="2917,2">
              <v:shape id="_x0000_s1040" style="position:absolute;left:6753;top:14;width:2917;height:2" coordorigin="6753,14" coordsize="2917,0" path="m6753,14r2916,e" filled="f" strokeweight="1.44pt">
                <v:path arrowok="t"/>
              </v:shape>
            </v:group>
            <w10:anchorlock/>
          </v:group>
        </w:pict>
      </w:r>
    </w:p>
    <w:p w:rsidR="007C36C0" w:rsidRPr="00273BF4" w:rsidRDefault="007D6E64" w:rsidP="00336A89">
      <w:pPr>
        <w:pStyle w:val="Heading2"/>
        <w:tabs>
          <w:tab w:val="left" w:pos="5400"/>
        </w:tabs>
        <w:ind w:left="132" w:right="2490" w:firstLine="0"/>
        <w:rPr>
          <w:rFonts w:cs="Times New Roman"/>
          <w:b w:val="0"/>
          <w:bCs w:val="0"/>
        </w:rPr>
      </w:pPr>
      <w:r w:rsidRPr="00273BF4">
        <w:rPr>
          <w:rFonts w:cs="Times New Roman"/>
        </w:rPr>
        <w:t>Поткомитет за превенцију тортуре и других сурових, нељудских или понижавајућих казни и поступака</w:t>
      </w:r>
    </w:p>
    <w:p w:rsidR="007C36C0" w:rsidRPr="00273BF4" w:rsidRDefault="007C36C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6C0" w:rsidRPr="00273BF4" w:rsidRDefault="007C36C0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6C0" w:rsidRPr="00273BF4" w:rsidRDefault="007D6E64" w:rsidP="00A45035">
      <w:pPr>
        <w:spacing w:line="276" w:lineRule="exact"/>
        <w:ind w:left="720" w:right="1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BF4">
        <w:rPr>
          <w:rFonts w:ascii="Times New Roman" w:hAnsi="Times New Roman" w:cs="Times New Roman"/>
          <w:b/>
          <w:sz w:val="24"/>
        </w:rPr>
        <w:t>Савет Поткомитета за превенцију тортуре државама чланицама и националним механизмима за превенцију тортуре у вези са пандемијом коронавируса (усвојен 25. марта 2020.)</w:t>
      </w:r>
    </w:p>
    <w:p w:rsidR="007C36C0" w:rsidRPr="00273BF4" w:rsidRDefault="007C36C0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C36C0" w:rsidRPr="00273BF4" w:rsidRDefault="007D6E64">
      <w:pPr>
        <w:pStyle w:val="ListParagraph"/>
        <w:numPr>
          <w:ilvl w:val="0"/>
          <w:numId w:val="2"/>
        </w:numPr>
        <w:tabs>
          <w:tab w:val="left" w:pos="986"/>
        </w:tabs>
        <w:ind w:right="3915" w:hanging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73BF4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7C36C0" w:rsidRPr="00273BF4" w:rsidRDefault="007D6E64" w:rsidP="00336A89">
      <w:pPr>
        <w:pStyle w:val="ListParagraph"/>
        <w:numPr>
          <w:ilvl w:val="1"/>
          <w:numId w:val="2"/>
        </w:numPr>
        <w:tabs>
          <w:tab w:val="left" w:pos="1260"/>
        </w:tabs>
        <w:spacing w:before="244" w:line="249" w:lineRule="auto"/>
        <w:ind w:left="1260" w:right="1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У периоду од само неколико недеља, коронавирус (КОВИД-19) у огромној мери је утицао на свакодневни живот, а многи су се суочили са строгим ограничењима личног кретања и личних слобода да би се властима омогућило да се што боље супротставе пандемији путем хитних мера у области јавног здравља.</w:t>
      </w:r>
    </w:p>
    <w:p w:rsidR="007C36C0" w:rsidRPr="00273BF4" w:rsidRDefault="007D6E64" w:rsidP="00336A89">
      <w:pPr>
        <w:pStyle w:val="ListParagraph"/>
        <w:numPr>
          <w:ilvl w:val="1"/>
          <w:numId w:val="2"/>
        </w:numPr>
        <w:tabs>
          <w:tab w:val="left" w:pos="1260"/>
        </w:tabs>
        <w:spacing w:before="121" w:line="249" w:lineRule="auto"/>
        <w:ind w:left="1260" w:right="1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Лица лишена слободе представљају посебно осетљиву групу због природе ограничења која су им већ изречена и својих ограничених могућности да предузимају мере предострожности. У затворима и другим објектима у којима су лица лишена слободе, од којих су многи веома претрпани и нехигијенски, све више се јављају и акутни проблеми.</w:t>
      </w:r>
    </w:p>
    <w:p w:rsidR="007C36C0" w:rsidRPr="00273BF4" w:rsidRDefault="007D6E64" w:rsidP="00336A89">
      <w:pPr>
        <w:pStyle w:val="ListParagraph"/>
        <w:numPr>
          <w:ilvl w:val="1"/>
          <w:numId w:val="2"/>
        </w:numPr>
        <w:tabs>
          <w:tab w:val="left" w:pos="1260"/>
        </w:tabs>
        <w:spacing w:before="121" w:line="249" w:lineRule="auto"/>
        <w:ind w:left="1260" w:right="1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У неколико земаља, мере предузете за сузбијање пандемије у установама у којима су лица лишена слободе већ су довеле до нарушавања реда, како у самим установама, тако и ван њих, и до људских жртава. У тим условима, неопходно је да државни органи, приликом предузимања мера за сузбијање пандемије, у потпуности узимају у обзир сва права лица лишених слободе, њихових породица, запослених у установама у којима су лица лишена слободе и здравствених радника.</w:t>
      </w:r>
    </w:p>
    <w:p w:rsidR="007C36C0" w:rsidRPr="00273BF4" w:rsidRDefault="007D6E64" w:rsidP="00336A89">
      <w:pPr>
        <w:pStyle w:val="ListParagraph"/>
        <w:numPr>
          <w:ilvl w:val="1"/>
          <w:numId w:val="2"/>
        </w:numPr>
        <w:tabs>
          <w:tab w:val="left" w:pos="1260"/>
        </w:tabs>
        <w:spacing w:before="121" w:line="249" w:lineRule="auto"/>
        <w:ind w:left="1260" w:right="1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Мере предузете као одговор на ризике по лица лишена слободе и запослене у установама у којима су лица лишена слободе треба да одражавају приступе изложене у овом Савету, а посебно начела „не нашкодити“ и „е</w:t>
      </w:r>
      <w:r w:rsidR="00273BF4">
        <w:rPr>
          <w:rFonts w:ascii="Times New Roman" w:hAnsi="Times New Roman" w:cs="Times New Roman"/>
          <w:sz w:val="20"/>
        </w:rPr>
        <w:t>квивалентна заштита“.</w:t>
      </w:r>
      <w:r w:rsidRPr="00273BF4">
        <w:rPr>
          <w:rFonts w:ascii="Times New Roman" w:hAnsi="Times New Roman" w:cs="Times New Roman"/>
          <w:sz w:val="20"/>
        </w:rPr>
        <w:t xml:space="preserve"> Такође је важно да се са свим лицима лишеним слободе, њиховим породицама и медијима транспарентно комуницира о мерама које се предузимају и разлозима за то.</w:t>
      </w:r>
    </w:p>
    <w:p w:rsidR="007C36C0" w:rsidRPr="00336A89" w:rsidRDefault="007D6E64" w:rsidP="00336A89">
      <w:pPr>
        <w:pStyle w:val="ListParagraph"/>
        <w:numPr>
          <w:ilvl w:val="1"/>
          <w:numId w:val="2"/>
        </w:numPr>
        <w:tabs>
          <w:tab w:val="left" w:pos="1260"/>
        </w:tabs>
        <w:spacing w:before="106" w:line="249" w:lineRule="auto"/>
        <w:ind w:left="1260" w:right="1247"/>
        <w:jc w:val="both"/>
        <w:rPr>
          <w:rFonts w:ascii="Times New Roman" w:hAnsi="Times New Roman" w:cs="Times New Roman"/>
          <w:sz w:val="20"/>
          <w:szCs w:val="20"/>
        </w:rPr>
      </w:pPr>
      <w:r w:rsidRPr="00336A89">
        <w:rPr>
          <w:rFonts w:ascii="Times New Roman" w:hAnsi="Times New Roman" w:cs="Times New Roman"/>
          <w:sz w:val="20"/>
        </w:rPr>
        <w:t xml:space="preserve">Забрана тортуре, сурових, нељудских или понижавајућих казни и поступака се не може дерогирати, чак ни у изузетним околностима и ванредним ситуацијама које представљају претњу опстанку </w:t>
      </w:r>
      <w:r w:rsidR="007A768A">
        <w:rPr>
          <w:rFonts w:ascii="Times New Roman" w:hAnsi="Times New Roman" w:cs="Times New Roman"/>
          <w:sz w:val="20"/>
          <w:lang w:val="sr-Cyrl-RS"/>
        </w:rPr>
        <w:t>нације</w:t>
      </w:r>
      <w:r w:rsidRPr="00336A89">
        <w:rPr>
          <w:rFonts w:ascii="Times New Roman" w:hAnsi="Times New Roman" w:cs="Times New Roman"/>
          <w:sz w:val="20"/>
        </w:rPr>
        <w:t>.</w:t>
      </w:r>
      <w:r w:rsidR="00336A89">
        <w:rPr>
          <w:rStyle w:val="FootnoteReference"/>
          <w:rFonts w:ascii="Times New Roman" w:hAnsi="Times New Roman" w:cs="Times New Roman"/>
          <w:sz w:val="20"/>
        </w:rPr>
        <w:footnoteReference w:id="1"/>
      </w:r>
      <w:r w:rsidRPr="00336A89">
        <w:rPr>
          <w:rFonts w:ascii="Times New Roman" w:hAnsi="Times New Roman" w:cs="Times New Roman"/>
          <w:position w:val="7"/>
          <w:sz w:val="13"/>
        </w:rPr>
        <w:t xml:space="preserve"> </w:t>
      </w:r>
      <w:r w:rsidRPr="00336A89">
        <w:rPr>
          <w:rFonts w:ascii="Times New Roman" w:hAnsi="Times New Roman" w:cs="Times New Roman"/>
          <w:sz w:val="20"/>
        </w:rPr>
        <w:t>СПТ је већ издао смерницу којом се потврђује да су званични простори за карантин обухваћени Опционим протоколом</w:t>
      </w:r>
      <w:r w:rsidR="00336A89">
        <w:rPr>
          <w:rStyle w:val="FootnoteReference"/>
          <w:rFonts w:ascii="Times New Roman" w:hAnsi="Times New Roman" w:cs="Times New Roman"/>
          <w:sz w:val="20"/>
        </w:rPr>
        <w:footnoteReference w:id="2"/>
      </w:r>
      <w:r w:rsidR="00E847BF" w:rsidRPr="00336A89">
        <w:rPr>
          <w:rFonts w:ascii="Times New Roman" w:hAnsi="Times New Roman" w:cs="Times New Roman"/>
          <w:sz w:val="20"/>
          <w:lang w:val="en-US"/>
        </w:rPr>
        <w:t xml:space="preserve">. </w:t>
      </w:r>
      <w:r w:rsidR="00E847BF" w:rsidRPr="00336A89">
        <w:rPr>
          <w:rFonts w:ascii="Times New Roman" w:hAnsi="Times New Roman" w:cs="Times New Roman"/>
          <w:sz w:val="20"/>
          <w:lang w:val="sr-Cyrl-RS"/>
        </w:rPr>
        <w:t xml:space="preserve">Из тога нужно следи да су </w:t>
      </w:r>
      <w:r w:rsidR="00E847BF" w:rsidRPr="00336A89">
        <w:rPr>
          <w:rFonts w:ascii="Times New Roman" w:hAnsi="Times New Roman" w:cs="Times New Roman"/>
          <w:sz w:val="20"/>
        </w:rPr>
        <w:t xml:space="preserve">сва друга </w:t>
      </w:r>
      <w:r w:rsidR="00E847BF" w:rsidRPr="00336A89">
        <w:rPr>
          <w:rFonts w:ascii="Times New Roman" w:hAnsi="Times New Roman" w:cs="Times New Roman"/>
          <w:sz w:val="20"/>
        </w:rPr>
        <w:lastRenderedPageBreak/>
        <w:t>места из којих лицима</w:t>
      </w:r>
      <w:r w:rsidR="00E847BF" w:rsidRPr="00336A89">
        <w:rPr>
          <w:rFonts w:ascii="Times New Roman" w:hAnsi="Times New Roman" w:cs="Times New Roman"/>
          <w:sz w:val="20"/>
          <w:lang w:val="sr-Cyrl-RS"/>
        </w:rPr>
        <w:t xml:space="preserve">, у сличну сврху, </w:t>
      </w:r>
      <w:r w:rsidR="00E847BF" w:rsidRPr="00336A89">
        <w:rPr>
          <w:rFonts w:ascii="Times New Roman" w:hAnsi="Times New Roman" w:cs="Times New Roman"/>
          <w:sz w:val="20"/>
          <w:szCs w:val="20"/>
          <w:lang w:val="sr-Cyrl-RS"/>
        </w:rPr>
        <w:t xml:space="preserve">није дозвољено да оду обухваћена Опционим протоколом и, </w:t>
      </w:r>
      <w:r w:rsidRPr="00336A89">
        <w:rPr>
          <w:rFonts w:ascii="Times New Roman" w:hAnsi="Times New Roman" w:cs="Times New Roman"/>
          <w:sz w:val="20"/>
          <w:szCs w:val="20"/>
        </w:rPr>
        <w:t>сходно томе, подлежу надзору како од стране СПТ, тако и од стране националних механизама за превенцију тортуре (НПМ) успостављених на основу Опционог протокола.</w:t>
      </w:r>
    </w:p>
    <w:p w:rsidR="007C36C0" w:rsidRPr="00273BF4" w:rsidRDefault="007D6E64">
      <w:pPr>
        <w:pStyle w:val="ListParagraph"/>
        <w:numPr>
          <w:ilvl w:val="1"/>
          <w:numId w:val="2"/>
        </w:numPr>
        <w:tabs>
          <w:tab w:val="left" w:pos="1246"/>
        </w:tabs>
        <w:spacing w:before="121" w:line="249" w:lineRule="auto"/>
        <w:ind w:left="1246" w:right="1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Бројни НПМ су од СПТ затражили додатне савете у вези са реаговањем на ову ситуацију. Природно, као аутономни органи, НПМ су слободни да одреде најбољи начин да одговоре на изазове које доноси пандемија у њиховим подручјима надлежности. СПТ остаје на располагању да одговори на сваки конкретан захтев за смернице који му буде упућен. СПТ је свестан да су различите глобалне и регионалне организације већ издале више корисних саопштења, која препоручуј</w:t>
      </w:r>
      <w:r w:rsidR="00E94EFF">
        <w:rPr>
          <w:rFonts w:ascii="Times New Roman" w:hAnsi="Times New Roman" w:cs="Times New Roman"/>
          <w:sz w:val="20"/>
          <w:lang w:val="sr-Cyrl-RS"/>
        </w:rPr>
        <w:t xml:space="preserve">у разматрање од стране </w:t>
      </w:r>
      <w:r w:rsidRPr="00273BF4">
        <w:rPr>
          <w:rFonts w:ascii="Times New Roman" w:hAnsi="Times New Roman" w:cs="Times New Roman"/>
          <w:sz w:val="20"/>
        </w:rPr>
        <w:t xml:space="preserve"> држава чланица и НПМ.</w:t>
      </w:r>
      <w:r w:rsidR="00336A89">
        <w:rPr>
          <w:rStyle w:val="FootnoteReference"/>
          <w:rFonts w:ascii="Times New Roman" w:hAnsi="Times New Roman" w:cs="Times New Roman"/>
          <w:sz w:val="20"/>
        </w:rPr>
        <w:footnoteReference w:id="3"/>
      </w:r>
      <w:r w:rsidR="00336A89">
        <w:rPr>
          <w:rFonts w:ascii="Times New Roman" w:hAnsi="Times New Roman" w:cs="Times New Roman"/>
          <w:position w:val="7"/>
          <w:sz w:val="13"/>
        </w:rPr>
        <w:t xml:space="preserve">, </w:t>
      </w:r>
      <w:r w:rsidR="00336A89" w:rsidRPr="00336A89">
        <w:rPr>
          <w:rStyle w:val="FootnoteReference"/>
          <w:rFonts w:ascii="Times New Roman" w:hAnsi="Times New Roman" w:cs="Times New Roman"/>
          <w:position w:val="7"/>
          <w:sz w:val="13"/>
          <w:vertAlign w:val="baseline"/>
        </w:rPr>
        <w:footnoteReference w:id="4"/>
      </w:r>
      <w:r w:rsidRPr="00273BF4">
        <w:rPr>
          <w:rFonts w:ascii="Times New Roman" w:hAnsi="Times New Roman" w:cs="Times New Roman"/>
          <w:position w:val="7"/>
          <w:sz w:val="13"/>
        </w:rPr>
        <w:t xml:space="preserve"> </w:t>
      </w:r>
      <w:r w:rsidRPr="00273BF4">
        <w:rPr>
          <w:rFonts w:ascii="Times New Roman" w:hAnsi="Times New Roman" w:cs="Times New Roman"/>
          <w:sz w:val="20"/>
        </w:rPr>
        <w:t>Сврха овог Савета је и да, у оквиру који утврђује Опциони протокол, понуди опште смернице свима који су надлежни за превентивне посете установама у којима су лица лишена слободе и који одлазе у такве посете.</w:t>
      </w:r>
    </w:p>
    <w:p w:rsidR="007C36C0" w:rsidRPr="00273BF4" w:rsidRDefault="007D6E64">
      <w:pPr>
        <w:pStyle w:val="ListParagraph"/>
        <w:numPr>
          <w:ilvl w:val="1"/>
          <w:numId w:val="2"/>
        </w:numPr>
        <w:tabs>
          <w:tab w:val="left" w:pos="1246"/>
        </w:tabs>
        <w:spacing w:before="121" w:line="249" w:lineRule="auto"/>
        <w:ind w:left="1246" w:right="12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СПТ жели да истакне да ће неопходне мере које се предузимају у интересу јавног здравља готово сигурно утицати на начин реализације превентивних посета, али да то не значи да треба престати са превентивним посетама. Напротив, за лица у установама у којима су лишена слободе, потенцијална изложеност ризику од злостављања се може повећати као последица тих мера у области јавног здравља. СПТ сматра да НПМ треба да наставе са реализацијом посета превентивног карактера, уз поштовање неопходних ограничења у погл</w:t>
      </w:r>
      <w:r w:rsidR="00FE296D">
        <w:rPr>
          <w:rFonts w:ascii="Times New Roman" w:hAnsi="Times New Roman" w:cs="Times New Roman"/>
          <w:sz w:val="20"/>
        </w:rPr>
        <w:t xml:space="preserve">еду начина реализације посета. </w:t>
      </w:r>
      <w:r w:rsidRPr="00273BF4">
        <w:rPr>
          <w:rFonts w:ascii="Times New Roman" w:hAnsi="Times New Roman" w:cs="Times New Roman"/>
          <w:sz w:val="20"/>
        </w:rPr>
        <w:t xml:space="preserve">У овом тренутку је посебно важно да НПМ обезбеде да се предузму делотворне мере за смањење могућности да лица лишена слободе трпе облике нељудског и понижавајућег поступања као последицу сасвим реалних притисака са којима се сада суочавају системи </w:t>
      </w:r>
      <w:r w:rsidR="00FE296D">
        <w:rPr>
          <w:rFonts w:ascii="Times New Roman" w:hAnsi="Times New Roman" w:cs="Times New Roman"/>
          <w:sz w:val="20"/>
          <w:lang w:val="sr-Cyrl-RS"/>
        </w:rPr>
        <w:t xml:space="preserve">у којима су лица лишена слободе </w:t>
      </w:r>
      <w:r w:rsidRPr="00273BF4">
        <w:rPr>
          <w:rFonts w:ascii="Times New Roman" w:hAnsi="Times New Roman" w:cs="Times New Roman"/>
          <w:sz w:val="20"/>
        </w:rPr>
        <w:t>и они који су за њих одговорни.</w:t>
      </w:r>
    </w:p>
    <w:p w:rsidR="007C36C0" w:rsidRPr="00273BF4" w:rsidRDefault="007C36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36C0" w:rsidRPr="00273BF4" w:rsidRDefault="007D6E64" w:rsidP="00273BF4">
      <w:pPr>
        <w:pStyle w:val="Heading2"/>
        <w:numPr>
          <w:ilvl w:val="0"/>
          <w:numId w:val="2"/>
        </w:numPr>
        <w:tabs>
          <w:tab w:val="left" w:pos="720"/>
        </w:tabs>
        <w:spacing w:before="124" w:line="272" w:lineRule="exact"/>
        <w:ind w:left="720" w:right="1278" w:hanging="607"/>
        <w:jc w:val="left"/>
        <w:rPr>
          <w:rFonts w:cs="Times New Roman"/>
          <w:b w:val="0"/>
          <w:bCs w:val="0"/>
        </w:rPr>
      </w:pPr>
      <w:r w:rsidRPr="00273BF4">
        <w:rPr>
          <w:rFonts w:cs="Times New Roman"/>
        </w:rPr>
        <w:t>Мере које власти треба да предузму у односу на све установе у којима су лица лишена слободе, укључујући притворске/</w:t>
      </w:r>
      <w:r w:rsidR="009D02E6">
        <w:rPr>
          <w:rFonts w:cs="Times New Roman"/>
          <w:lang w:val="sr-Cyrl-RS"/>
        </w:rPr>
        <w:t xml:space="preserve"> </w:t>
      </w:r>
      <w:r w:rsidRPr="00273BF4">
        <w:rPr>
          <w:rFonts w:cs="Times New Roman"/>
        </w:rPr>
        <w:t>затворске објекте, имиграциони притвор, избегличке кампове затвореног типа, психијатријске болнице и друге здравствене установе</w:t>
      </w:r>
    </w:p>
    <w:p w:rsidR="007C36C0" w:rsidRPr="00273BF4" w:rsidRDefault="007C36C0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6C0" w:rsidRPr="00273BF4" w:rsidRDefault="007D6E64">
      <w:pPr>
        <w:pStyle w:val="ListParagraph"/>
        <w:numPr>
          <w:ilvl w:val="0"/>
          <w:numId w:val="1"/>
        </w:numPr>
        <w:tabs>
          <w:tab w:val="left" w:pos="1246"/>
        </w:tabs>
        <w:spacing w:line="249" w:lineRule="auto"/>
        <w:ind w:right="1246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273BF4">
        <w:rPr>
          <w:rFonts w:ascii="Times New Roman" w:hAnsi="Times New Roman" w:cs="Times New Roman"/>
          <w:sz w:val="20"/>
        </w:rPr>
        <w:t xml:space="preserve">Подразумева се да је држава одговорна за здравствену заштиту лица која лиши слободе и да је дужна да се стара о својим запосленима у установама у којима су лица лишена слободе и здравственим радницима. Правилима Нелсона Манделе јасно је утврђено да „… </w:t>
      </w:r>
      <w:r w:rsidRPr="00273BF4">
        <w:rPr>
          <w:rFonts w:ascii="Times New Roman" w:hAnsi="Times New Roman" w:cs="Times New Roman"/>
          <w:i/>
          <w:sz w:val="20"/>
        </w:rPr>
        <w:t>Затвореници треба да уживају исте стандарде здравствене заштите који су доступни и у заједници, и треба да су им на располагању неопходне услуге здравствене заштите бесплатно, без дискриминације по основу њиховог правног статуса</w:t>
      </w:r>
      <w:r w:rsidRPr="00273BF4">
        <w:rPr>
          <w:rFonts w:ascii="Times New Roman" w:hAnsi="Times New Roman" w:cs="Times New Roman"/>
          <w:sz w:val="20"/>
        </w:rPr>
        <w:t>.“</w:t>
      </w:r>
      <w:r w:rsidR="00336A89">
        <w:rPr>
          <w:rStyle w:val="FootnoteReference"/>
          <w:rFonts w:ascii="Times New Roman" w:hAnsi="Times New Roman" w:cs="Times New Roman"/>
          <w:sz w:val="20"/>
        </w:rPr>
        <w:footnoteReference w:id="5"/>
      </w:r>
    </w:p>
    <w:p w:rsidR="007C36C0" w:rsidRPr="00273BF4" w:rsidRDefault="007C36C0">
      <w:pPr>
        <w:spacing w:line="20" w:lineRule="exact"/>
        <w:ind w:left="427"/>
        <w:rPr>
          <w:rFonts w:ascii="Times New Roman" w:eastAsia="Times New Roman" w:hAnsi="Times New Roman" w:cs="Times New Roman"/>
          <w:sz w:val="2"/>
          <w:szCs w:val="2"/>
        </w:rPr>
      </w:pPr>
    </w:p>
    <w:p w:rsidR="007C36C0" w:rsidRPr="00273BF4" w:rsidRDefault="007D6E64" w:rsidP="00336A89">
      <w:pPr>
        <w:pStyle w:val="ListParagraph"/>
        <w:numPr>
          <w:ilvl w:val="0"/>
          <w:numId w:val="1"/>
        </w:numPr>
        <w:spacing w:before="106" w:line="249" w:lineRule="auto"/>
        <w:ind w:left="1260" w:right="985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 xml:space="preserve">С обзиром на повећан ризик од заразе између лица у затвору/притвору односно лишених слободе </w:t>
      </w:r>
      <w:r w:rsidR="00430C8F">
        <w:rPr>
          <w:rFonts w:ascii="Times New Roman" w:hAnsi="Times New Roman" w:cs="Times New Roman"/>
          <w:sz w:val="20"/>
          <w:lang w:val="sr-Cyrl-RS"/>
        </w:rPr>
        <w:t>по другом основу</w:t>
      </w:r>
      <w:r w:rsidRPr="00273BF4">
        <w:rPr>
          <w:rFonts w:ascii="Times New Roman" w:hAnsi="Times New Roman" w:cs="Times New Roman"/>
          <w:sz w:val="20"/>
        </w:rPr>
        <w:t>, СПТ позива све државе: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хитно спроведу процене ризика како би у популацији лишеној слободе идентификовале лица у највећем ризику, узимајући у обзир све посебне осетљиве групе;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смање бројност лица у затворима и других лица лишених слободе где год је то могуће применом програма превременог или привременог отпуста или пуштања на слободу до почетка суђења оних притвореника/затвореника код којих је то безбедно, уз пуно уважавање индикованих ванзаводских мера као што је утврђено Токијским правилима;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посвете посебну пажњу установама у којима су лица лишена слободе где број смештених лица премашује званични капацитет, и онима где је званични капацитет утврђен на основу броја квадратних метара по особи који не омогућава социјално дистанцирање у складу са стандардним смерницама намењеним општој популацији;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преиспитају све случајеве одређивања притвора до почетка суђења да би утврдиле да ли је то стриктно неопходно у светлу актуелне ванредне ситуације у области јавног здравља и да меру полагања јемства прошире на све осим најтежих случајева;</w:t>
      </w:r>
    </w:p>
    <w:p w:rsidR="007C36C0" w:rsidRPr="00273BF4" w:rsidRDefault="007D6E64" w:rsidP="009D02E6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преиспитају коришћење имиграционог притвора и избегличких кампова затвореног типа с циљем да се популација у њима сведе на најмању могућу меру;</w:t>
      </w:r>
    </w:p>
    <w:p w:rsidR="007C36C0" w:rsidRPr="00273BF4" w:rsidRDefault="007C36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line="249" w:lineRule="auto"/>
        <w:ind w:right="9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да отпуст буде праћен тријажом како би обезбедиле примену одговарајућих мера за оне који су било позитивни, било посебно осетљиви на инфекцију;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да све рестрикције постојећих режима буду сведене на најмању меру, сразмерне природи здравствене ванредне ситуације и у складу са законом;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да постојећи механизми за подношење притужби и даље функционишу и буду делотворни;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52" w:lineRule="auto"/>
        <w:ind w:right="9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поштују минималне захтеве у погледу свакодневне физичке активности на отвореном, уз уважавање мера неопходних за борбу против актуелне пандемије;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19" w:line="249" w:lineRule="auto"/>
        <w:ind w:right="9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свима који и даље буду лишени слободе обезбеде (бесплатно) довољне просторије и потрепштине да би могли да одржавају личну хигијену на истом нивоу ког треба да се придржава целокупно становништво;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у случајевима где су режими посета ограничени из здравствених разлога, да као замену обезбеде довољне алтернативне начине да лица лишена слободе одржавају контакте са породицом и спољним светом, на пример преко телефона, интернета/електронске поште, видео-комуникације и других одговарајућих електронских средстава. Такве контакте треба и омогућавати и подстицати, а они треба да буду чести и бесплатни;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 xml:space="preserve">да омогуће члановима породице или сродницима да наставе са достављањем хране и других потрепштина лицима лишеним слободе, </w:t>
      </w:r>
      <w:r w:rsidRPr="00273BF4">
        <w:rPr>
          <w:rFonts w:ascii="Times New Roman" w:hAnsi="Times New Roman" w:cs="Times New Roman"/>
          <w:sz w:val="20"/>
        </w:rPr>
        <w:lastRenderedPageBreak/>
        <w:t>у складу са локалном праксом и уз одговарајуће поштовање неопходних мера заштите;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лица која су у највећем ризику међу онима који и даље буду лишени слободе сместе на начин који одражава тај повећани ризик, уз пуно поштовање њихових права у установи у којој бораве;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2226"/>
        </w:tabs>
        <w:spacing w:before="121" w:line="249" w:lineRule="auto"/>
        <w:ind w:right="9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спрече да се медицинска изолација користи као дисциплинска мера упућивања у самицу; медицинска изолација мора да буде заснована на независној медицинској оцени, сразмерна, ограниченог трајања и да подлеже процесним гаранцијама;</w:t>
      </w:r>
    </w:p>
    <w:p w:rsidR="007C36C0" w:rsidRPr="00430C8F" w:rsidRDefault="007D6E64">
      <w:pPr>
        <w:pStyle w:val="ListParagraph"/>
        <w:numPr>
          <w:ilvl w:val="1"/>
          <w:numId w:val="1"/>
        </w:numPr>
        <w:tabs>
          <w:tab w:val="left" w:pos="2175"/>
        </w:tabs>
        <w:spacing w:before="121" w:line="249" w:lineRule="auto"/>
        <w:ind w:right="9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здравствену заштиту лицима лишеним слободе којима је потребна, ван установе у којој бораве, кад год је то могуће;</w:t>
      </w:r>
    </w:p>
    <w:p w:rsidR="00430C8F" w:rsidRPr="00273BF4" w:rsidRDefault="00430C8F" w:rsidP="00430C8F">
      <w:pPr>
        <w:pStyle w:val="ListParagraph"/>
        <w:numPr>
          <w:ilvl w:val="1"/>
          <w:numId w:val="1"/>
        </w:numPr>
        <w:tabs>
          <w:tab w:val="left" w:pos="8280"/>
        </w:tabs>
        <w:spacing w:before="106" w:line="249" w:lineRule="auto"/>
        <w:ind w:left="2160"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да основне заштитне одредбе против злостављања (укључујући право на добијање медицинског савета од независног пружаоца, на правну помоћ и на обавештавање трећих лица о лишењу слободе) и даље буду доступне и у функцији, и поред ограничења у приступу;</w:t>
      </w:r>
    </w:p>
    <w:p w:rsidR="00430C8F" w:rsidRPr="00273BF4" w:rsidRDefault="00430C8F" w:rsidP="00430C8F">
      <w:pPr>
        <w:pStyle w:val="ListParagraph"/>
        <w:numPr>
          <w:ilvl w:val="1"/>
          <w:numId w:val="1"/>
        </w:numPr>
        <w:tabs>
          <w:tab w:val="left" w:pos="8280"/>
        </w:tabs>
        <w:spacing w:before="121" w:line="249" w:lineRule="auto"/>
        <w:ind w:left="2160"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да сва лица лишена слободе и запослени добију поуздане, тачне и ажурне информације о свим мерама које се предузимају, њиховом трајању и разлозима из којих се предузимају;</w:t>
      </w:r>
    </w:p>
    <w:p w:rsidR="00430C8F" w:rsidRPr="00430C8F" w:rsidRDefault="00430C8F" w:rsidP="00430C8F">
      <w:pPr>
        <w:pStyle w:val="ListParagraph"/>
        <w:numPr>
          <w:ilvl w:val="1"/>
          <w:numId w:val="1"/>
        </w:numPr>
        <w:tabs>
          <w:tab w:val="left" w:pos="8280"/>
        </w:tabs>
        <w:spacing w:before="121" w:line="249" w:lineRule="auto"/>
        <w:ind w:left="2160"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да обезбеде да се предузму одговарајуће мере за заштиту здравља запослених у установама у којима су лица лишена слободе и здравствених радника и да им се за обављање њихових дужности обезбеди одговарајућа опрема и подршка;</w:t>
      </w:r>
    </w:p>
    <w:p w:rsidR="00430C8F" w:rsidRPr="00273BF4" w:rsidRDefault="00430C8F" w:rsidP="00430C8F">
      <w:pPr>
        <w:pStyle w:val="ListParagraph"/>
        <w:numPr>
          <w:ilvl w:val="1"/>
          <w:numId w:val="1"/>
        </w:numPr>
        <w:tabs>
          <w:tab w:val="left" w:pos="2160"/>
          <w:tab w:val="left" w:pos="8280"/>
        </w:tabs>
        <w:spacing w:before="121" w:line="249" w:lineRule="auto"/>
        <w:ind w:left="2160"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 xml:space="preserve">да свим лицима лишеним слободе и запосленима на које се ове мере примењују ставе на располагање одговарајућу психолошку подршку; </w:t>
      </w:r>
    </w:p>
    <w:p w:rsidR="00430C8F" w:rsidRPr="00273BF4" w:rsidRDefault="00430C8F" w:rsidP="00430C8F">
      <w:pPr>
        <w:pStyle w:val="ListParagraph"/>
        <w:numPr>
          <w:ilvl w:val="1"/>
          <w:numId w:val="1"/>
        </w:numPr>
        <w:tabs>
          <w:tab w:val="left" w:pos="1815"/>
          <w:tab w:val="left" w:pos="2160"/>
          <w:tab w:val="left" w:pos="8280"/>
        </w:tabs>
        <w:spacing w:before="121" w:line="252" w:lineRule="auto"/>
        <w:ind w:left="2160" w:right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у зависности од случаја, да обезбеде да се све горенаведено узме у обзир када је реч о пацијентима који су без сагласности примљени у психијатријске болнице.</w:t>
      </w:r>
    </w:p>
    <w:p w:rsidR="00430C8F" w:rsidRPr="00273BF4" w:rsidRDefault="00430C8F" w:rsidP="00430C8F">
      <w:pPr>
        <w:pStyle w:val="ListParagraph"/>
        <w:spacing w:before="121" w:line="249" w:lineRule="auto"/>
        <w:ind w:left="2160" w:right="125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C36C0" w:rsidRPr="00273BF4" w:rsidRDefault="007C36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36C0" w:rsidRPr="00273BF4" w:rsidRDefault="007D6E64" w:rsidP="00336A89">
      <w:pPr>
        <w:pStyle w:val="Heading2"/>
        <w:numPr>
          <w:ilvl w:val="0"/>
          <w:numId w:val="2"/>
        </w:numPr>
        <w:tabs>
          <w:tab w:val="left" w:pos="810"/>
        </w:tabs>
        <w:spacing w:before="122" w:line="272" w:lineRule="exact"/>
        <w:ind w:right="1363" w:hanging="720"/>
        <w:jc w:val="left"/>
        <w:rPr>
          <w:rFonts w:cs="Times New Roman"/>
          <w:b w:val="0"/>
          <w:bCs w:val="0"/>
        </w:rPr>
      </w:pPr>
      <w:r w:rsidRPr="00273BF4">
        <w:rPr>
          <w:rFonts w:cs="Times New Roman"/>
        </w:rPr>
        <w:t>Мере које власти треба да предузму у односу на лица у званичним просторима за карантин</w:t>
      </w:r>
    </w:p>
    <w:p w:rsidR="007C36C0" w:rsidRPr="00273BF4" w:rsidRDefault="007C36C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C36C0" w:rsidRPr="00273BF4" w:rsidRDefault="007D6E64">
      <w:pPr>
        <w:pStyle w:val="ListParagraph"/>
        <w:numPr>
          <w:ilvl w:val="0"/>
          <w:numId w:val="1"/>
        </w:numPr>
        <w:tabs>
          <w:tab w:val="left" w:pos="1246"/>
        </w:tabs>
        <w:spacing w:line="244" w:lineRule="auto"/>
        <w:ind w:right="127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СПТ је већ у свом претходном Савету говорио о ситуацији лица смештених у карантин</w:t>
      </w:r>
      <w:r w:rsidR="00336A89">
        <w:rPr>
          <w:rStyle w:val="FootnoteReference"/>
          <w:rFonts w:ascii="Times New Roman" w:hAnsi="Times New Roman" w:cs="Times New Roman"/>
          <w:sz w:val="20"/>
        </w:rPr>
        <w:footnoteReference w:id="6"/>
      </w:r>
      <w:r w:rsidRPr="00273BF4">
        <w:rPr>
          <w:rFonts w:ascii="Times New Roman" w:hAnsi="Times New Roman" w:cs="Times New Roman"/>
          <w:sz w:val="20"/>
        </w:rPr>
        <w:t>. Томе би додао и следеће: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1815"/>
        </w:tabs>
        <w:spacing w:before="125" w:line="249" w:lineRule="auto"/>
        <w:ind w:left="1814" w:right="1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Са лицима која су привремено смештена у карантин треба у сваком тренутку поступати као са слободнима, изузев неопходних ограничења која су им наметнута за потребе карантина, у складу са законом и на основу научних података.</w:t>
      </w:r>
    </w:p>
    <w:p w:rsidR="007C36C0" w:rsidRPr="00273BF4" w:rsidRDefault="007C36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C36C0" w:rsidRPr="00273BF4" w:rsidRDefault="007D6E64" w:rsidP="005211D1">
      <w:pPr>
        <w:pStyle w:val="ListParagraph"/>
        <w:numPr>
          <w:ilvl w:val="1"/>
          <w:numId w:val="1"/>
        </w:numPr>
        <w:tabs>
          <w:tab w:val="left" w:pos="1815"/>
        </w:tabs>
        <w:ind w:left="1814" w:right="12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Њих не треба посматрати нити са њима поступати као да су „лишена слободе“.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1815"/>
        </w:tabs>
        <w:spacing w:before="130" w:line="249" w:lineRule="auto"/>
        <w:ind w:left="1814" w:right="1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Објекти за карантин треба да буду довољне величине и да имају довољне просторије да омогуће слободу кретања у њиховој унутрашњости и низ сврсисходних активности.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1815"/>
        </w:tabs>
        <w:spacing w:before="121" w:line="249" w:lineRule="auto"/>
        <w:ind w:left="1814" w:right="1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Треба подстицати и омогућити комуникацију са породицом и пријатељима помоћу одговарајућих средстава.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1815"/>
        </w:tabs>
        <w:spacing w:before="121" w:line="249" w:lineRule="auto"/>
        <w:ind w:left="1814" w:right="1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lastRenderedPageBreak/>
        <w:t xml:space="preserve">Пошто карантин </w:t>
      </w:r>
      <w:r w:rsidRPr="00273BF4">
        <w:rPr>
          <w:rFonts w:ascii="Times New Roman" w:hAnsi="Times New Roman" w:cs="Times New Roman"/>
          <w:i/>
          <w:sz w:val="20"/>
        </w:rPr>
        <w:t xml:space="preserve">de facto </w:t>
      </w:r>
      <w:r w:rsidRPr="00273BF4">
        <w:rPr>
          <w:rFonts w:ascii="Times New Roman" w:hAnsi="Times New Roman" w:cs="Times New Roman"/>
          <w:sz w:val="20"/>
        </w:rPr>
        <w:t>представља облик лишења слободе, сви који су смештени у карантин треба да имају могућност да се користе основним заштитним одредбама против злостављања, укључујући обавештавање о разлозима за смештај у карантин, право на добијање медицинског савета од независног пружаоца, на правну помоћ и на обавештавање трећих лица да су смештени у карантин, на начин који је у складу са њиховим статусом и ситуацијом.</w:t>
      </w:r>
    </w:p>
    <w:p w:rsidR="007C36C0" w:rsidRPr="00273BF4" w:rsidRDefault="007D6E64">
      <w:pPr>
        <w:pStyle w:val="ListParagraph"/>
        <w:numPr>
          <w:ilvl w:val="1"/>
          <w:numId w:val="1"/>
        </w:numPr>
        <w:tabs>
          <w:tab w:val="left" w:pos="1815"/>
        </w:tabs>
        <w:spacing w:before="121" w:line="249" w:lineRule="auto"/>
        <w:ind w:left="1814" w:right="1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Треба предузети све одговарајуће мере да се избегне да лица која су у карантину или су била у карантину буду изложена било ком облику маргинализације или дискриминације, укључујући и период по повратку у заједницу.</w:t>
      </w:r>
    </w:p>
    <w:p w:rsidR="007C36C0" w:rsidRPr="00273BF4" w:rsidRDefault="007C36C0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C36C0" w:rsidRPr="00336A89" w:rsidRDefault="007D6E64">
      <w:pPr>
        <w:pStyle w:val="ListParagraph"/>
        <w:numPr>
          <w:ilvl w:val="1"/>
          <w:numId w:val="1"/>
        </w:numPr>
        <w:tabs>
          <w:tab w:val="left" w:pos="1815"/>
        </w:tabs>
        <w:spacing w:line="249" w:lineRule="auto"/>
        <w:ind w:left="1814" w:right="12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Одговарајућа психолошка подршка треба да буде доступна онима којима је потребна, како за време, тако и након периода који су провели издвојени.</w:t>
      </w:r>
    </w:p>
    <w:p w:rsidR="007C36C0" w:rsidRPr="00273BF4" w:rsidRDefault="007D6E64">
      <w:pPr>
        <w:pStyle w:val="Heading2"/>
        <w:numPr>
          <w:ilvl w:val="0"/>
          <w:numId w:val="2"/>
        </w:numPr>
        <w:tabs>
          <w:tab w:val="left" w:pos="966"/>
        </w:tabs>
        <w:spacing w:before="95"/>
        <w:ind w:left="965"/>
        <w:jc w:val="left"/>
        <w:rPr>
          <w:rFonts w:cs="Times New Roman"/>
          <w:b w:val="0"/>
          <w:bCs w:val="0"/>
        </w:rPr>
      </w:pPr>
      <w:r w:rsidRPr="00273BF4">
        <w:rPr>
          <w:rFonts w:cs="Times New Roman"/>
        </w:rPr>
        <w:t>Мере које треба да предузму НПМ</w:t>
      </w:r>
    </w:p>
    <w:p w:rsidR="007C36C0" w:rsidRPr="00273BF4" w:rsidRDefault="007C36C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C36C0" w:rsidRPr="00273BF4" w:rsidRDefault="007D6E64" w:rsidP="00A45035">
      <w:pPr>
        <w:pStyle w:val="ListParagraph"/>
        <w:numPr>
          <w:ilvl w:val="0"/>
          <w:numId w:val="1"/>
        </w:numPr>
        <w:spacing w:line="249" w:lineRule="auto"/>
        <w:ind w:left="1260" w:right="5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Национални механизми за превенцију тортуре треба за време пандемије коронавируса да наставе са вршењем својих овлашћења да одлазе у посете, али ће у начину на који то раде можда морати да уваже актуелна легитимна ограничења у погледу непосредних контаката. Њима се не може у потпуности ускратити приступ званичним установама у којима су лица лишена слободе, укључујући просторе за карантин, чак и ако су привремена ограничења дозвољена у складу са чланом 14, став 2. Опционог протокола.</w:t>
      </w:r>
    </w:p>
    <w:p w:rsidR="007C36C0" w:rsidRPr="00273BF4" w:rsidRDefault="007D6E64" w:rsidP="00A45035">
      <w:pPr>
        <w:pStyle w:val="ListParagraph"/>
        <w:numPr>
          <w:ilvl w:val="0"/>
          <w:numId w:val="1"/>
        </w:numPr>
        <w:spacing w:before="121" w:line="249" w:lineRule="auto"/>
        <w:ind w:left="1260" w:righ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Циљ Опционог протокола, утврђен у члану 1, јесте „ да успостави систем редовних посета“, а сврха, утврђена у Преамбули, јесте „заштита лица лишених слободе од тортуре и других сурових, нељудских или понижавајућих казни или поступака“, што је обавеза према међународном праву која се не може дерогирати.   У актуелном контексту, то указује да су НПМ обавезни да, за вршење својих превентивних овлашћења у односу на установе у којима су лица лишена слободе, осмисле методе помоћу којих ће се потреба за непосредним контактом свести на минимум, али које ће ипак пружити делотворне могућности за превентивно ангажовање.</w:t>
      </w:r>
    </w:p>
    <w:p w:rsidR="007C36C0" w:rsidRPr="00273BF4" w:rsidRDefault="007D6E64" w:rsidP="00A45035">
      <w:pPr>
        <w:pStyle w:val="ListParagraph"/>
        <w:numPr>
          <w:ilvl w:val="0"/>
          <w:numId w:val="1"/>
        </w:numPr>
        <w:spacing w:before="121"/>
        <w:ind w:left="126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Такве мере могу да укључују следеће: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30" w:line="249" w:lineRule="auto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дискусије са одговарајућим домаћим органима у вези са спровођењем и функционисањем мера за ублажавање, изложених у деловима II и III;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21" w:line="249" w:lineRule="auto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интензивирање прикупљања и разматрања података о установама у којима су лица лишена слободе, индивидуално и колективно;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21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коришћење средстава електронске комуникације са лицима лишеним слободе;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30" w:line="249" w:lineRule="auto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успостављање директних телефонских веза са НПМ у установама у којима су лица лишена слободе и могућности за слање сигурне електронске и класичне поште;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21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праћење успостављања нових/привремених установа у којима су лица лишена слободе;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30" w:line="249" w:lineRule="auto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побољшавање дистрибуције информација о раду НПМ у установама у којима су лица лишена слободе и обезбеђивање канала који омогућавају брзу и поверљиву комуникацију;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21" w:line="249" w:lineRule="auto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настојање да се ступи у контакт са трећим лицима (нпр. породицама и адвокатима) која би могла да пруже додатне информације о ситуацији у установама у којима су лица лишена слободе;</w:t>
      </w:r>
    </w:p>
    <w:p w:rsidR="007C36C0" w:rsidRPr="00273BF4" w:rsidRDefault="007D6E64" w:rsidP="000F13EB">
      <w:pPr>
        <w:pStyle w:val="ListParagraph"/>
        <w:numPr>
          <w:ilvl w:val="1"/>
          <w:numId w:val="1"/>
        </w:numPr>
        <w:tabs>
          <w:tab w:val="left" w:pos="2326"/>
          <w:tab w:val="left" w:pos="8550"/>
        </w:tabs>
        <w:spacing w:before="121" w:line="249" w:lineRule="auto"/>
        <w:ind w:left="2326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lastRenderedPageBreak/>
        <w:t>унапређење сарадње са НВО и организацијама за помоћ које раде са лицима лишеним слободе.</w:t>
      </w:r>
    </w:p>
    <w:p w:rsidR="007C36C0" w:rsidRPr="00273BF4" w:rsidRDefault="007C36C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C36C0" w:rsidRPr="00273BF4" w:rsidRDefault="007D6E64">
      <w:pPr>
        <w:pStyle w:val="Heading1"/>
        <w:numPr>
          <w:ilvl w:val="0"/>
          <w:numId w:val="2"/>
        </w:numPr>
        <w:tabs>
          <w:tab w:val="left" w:pos="966"/>
        </w:tabs>
        <w:ind w:left="965"/>
        <w:jc w:val="left"/>
        <w:rPr>
          <w:rFonts w:cs="Times New Roman"/>
          <w:b w:val="0"/>
          <w:bCs w:val="0"/>
        </w:rPr>
      </w:pPr>
      <w:r w:rsidRPr="00273BF4">
        <w:rPr>
          <w:rFonts w:cs="Times New Roman"/>
        </w:rPr>
        <w:t>Закључак</w:t>
      </w:r>
    </w:p>
    <w:p w:rsidR="007C36C0" w:rsidRPr="000F13EB" w:rsidRDefault="007D6E64" w:rsidP="0032261D">
      <w:pPr>
        <w:pStyle w:val="ListParagraph"/>
        <w:numPr>
          <w:ilvl w:val="0"/>
          <w:numId w:val="1"/>
        </w:numPr>
        <w:tabs>
          <w:tab w:val="left" w:pos="1260"/>
        </w:tabs>
        <w:spacing w:before="244" w:line="249" w:lineRule="auto"/>
        <w:ind w:left="1260" w:right="5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3BF4">
        <w:rPr>
          <w:rFonts w:ascii="Times New Roman" w:hAnsi="Times New Roman" w:cs="Times New Roman"/>
          <w:sz w:val="20"/>
        </w:rPr>
        <w:t>Није могуће тачно предвидети колико ће актуелна пандемија трајати, нити какви ће бити њени свеукупни ефекти. Јасно је да она већ има огроман утицај на све припаднике друштва и да ће се то наставити током дужег временског периода. СПТ и НПМ морају у свом раду да воде рачуна о начелу „не нашкодити“.  То може да значи да НПМ треба своје методе рада да прилагоде ситуацији узрокованој пандемијом да би заштитили јавност, запослене у установама, лица лишена слободе, као и себе. Првенствени критеријум море да буде делотворност у превенцији злостављања лица изложених мерама лишења слободе. Параметри превенције су проширени због ванредних мера које су државе морале да предузму. СПТ и НПМ су одговорни за то да домишљато и креативно одговоре на нове изазове са којима се суочавају у вршењу својих овлашћења на основу Опционог протокола.</w:t>
      </w:r>
    </w:p>
    <w:p w:rsidR="007C36C0" w:rsidRPr="00273BF4" w:rsidRDefault="007C36C0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C36C0" w:rsidRPr="00273BF4" w:rsidRDefault="0098228A">
      <w:pPr>
        <w:spacing w:line="20" w:lineRule="exact"/>
        <w:ind w:left="34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5.6pt;height:.5pt;mso-position-horizontal-relative:char;mso-position-vertical-relative:line" coordsize="1712,10">
            <v:group id="_x0000_s1027" style="position:absolute;left:5;top:5;width:1703;height:2" coordorigin="5,5" coordsize="1703,2">
              <v:shape id="_x0000_s1028" style="position:absolute;left:5;top:5;width:1703;height:2" coordorigin="5,5" coordsize="1703,0" path="m5,5r1702,e" filled="f" strokeweight=".48pt">
                <v:path arrowok="t"/>
              </v:shape>
            </v:group>
            <w10:anchorlock/>
          </v:group>
        </w:pict>
      </w:r>
    </w:p>
    <w:sectPr w:rsidR="007C36C0" w:rsidRPr="00273BF4">
      <w:footerReference w:type="even" r:id="rId8"/>
      <w:footerReference w:type="default" r:id="rId9"/>
      <w:pgSz w:w="11910" w:h="16850"/>
      <w:pgMar w:top="1600" w:right="1020" w:bottom="1860" w:left="1680" w:header="0" w:footer="1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8A" w:rsidRDefault="0098228A">
      <w:r>
        <w:separator/>
      </w:r>
    </w:p>
  </w:endnote>
  <w:endnote w:type="continuationSeparator" w:id="0">
    <w:p w:rsidR="0098228A" w:rsidRDefault="0098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C0" w:rsidRDefault="0098228A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1pt;margin-top:746.9pt;width:8.5pt;height:11pt;z-index:-5584;mso-position-horizontal-relative:page;mso-position-vertical-relative:page" filled="f" stroked="f">
          <v:textbox inset="0,0,0,0">
            <w:txbxContent>
              <w:p w:rsidR="007C36C0" w:rsidRDefault="007D6E64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B418C">
                  <w:rPr>
                    <w:rFonts w:ascii="Times New Roman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C0" w:rsidRDefault="009822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46.9pt;width:8.5pt;height:11pt;z-index:-5560;mso-position-horizontal-relative:page;mso-position-vertical-relative:page" filled="f" stroked="f">
          <v:textbox inset="0,0,0,0">
            <w:txbxContent>
              <w:p w:rsidR="007C36C0" w:rsidRDefault="007D6E64">
                <w:pPr>
                  <w:spacing w:line="204" w:lineRule="exact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B418C">
                  <w:rPr>
                    <w:rFonts w:ascii="Times New Roman"/>
                    <w:b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8A" w:rsidRDefault="0098228A">
      <w:r>
        <w:separator/>
      </w:r>
    </w:p>
  </w:footnote>
  <w:footnote w:type="continuationSeparator" w:id="0">
    <w:p w:rsidR="0098228A" w:rsidRDefault="0098228A">
      <w:r>
        <w:continuationSeparator/>
      </w:r>
    </w:p>
  </w:footnote>
  <w:footnote w:id="1">
    <w:p w:rsidR="00336A89" w:rsidRPr="00336A89" w:rsidRDefault="00336A89" w:rsidP="00336A89">
      <w:pPr>
        <w:pStyle w:val="FootnoteText"/>
        <w:ind w:left="720" w:right="51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73BF4">
        <w:rPr>
          <w:rFonts w:ascii="Times New Roman" w:hAnsi="Times New Roman" w:cs="Times New Roman"/>
          <w:sz w:val="18"/>
        </w:rPr>
        <w:t>Видети Конвенцију УН против тортуре, члан 2, став 2. и Међународни пакт о грађанским и политичким правима, чл. 4. и 7.</w:t>
      </w:r>
    </w:p>
  </w:footnote>
  <w:footnote w:id="2">
    <w:p w:rsidR="00336A89" w:rsidRPr="00336A89" w:rsidRDefault="00336A89" w:rsidP="00336A89">
      <w:pPr>
        <w:pStyle w:val="FootnoteText"/>
        <w:ind w:left="720" w:right="51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73BF4">
        <w:rPr>
          <w:rFonts w:ascii="Times New Roman" w:hAnsi="Times New Roman" w:cs="Times New Roman"/>
          <w:sz w:val="18"/>
        </w:rPr>
        <w:t>Савет Поткомитета за превенцију тортуре Националном механизму за превенцију тортуре Уједињеног Краљевства Велике Британије и Северне Ирске у погледу обавезног карантина због коронавируса, усвојен на 40. седници (10–14. фебруара 2020), доступно на</w:t>
      </w:r>
      <w:hyperlink r:id="rId1">
        <w:r w:rsidRPr="00273BF4">
          <w:rPr>
            <w:rFonts w:ascii="Times New Roman" w:hAnsi="Times New Roman" w:cs="Times New Roman"/>
            <w:sz w:val="18"/>
          </w:rPr>
          <w:t xml:space="preserve"> https://www.ohchr.org/Documents/HRBodies/OPCAT/NPM/2020.03.03-Advice_UK_NPM.pdf</w:t>
        </w:r>
      </w:hyperlink>
    </w:p>
  </w:footnote>
  <w:footnote w:id="3">
    <w:p w:rsidR="00336A89" w:rsidRPr="00336A89" w:rsidRDefault="00336A89" w:rsidP="00336A89">
      <w:pPr>
        <w:pStyle w:val="FootnoteText"/>
        <w:ind w:left="720" w:right="69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73BF4">
        <w:rPr>
          <w:rFonts w:ascii="Times New Roman" w:hAnsi="Times New Roman" w:cs="Times New Roman"/>
          <w:sz w:val="18"/>
        </w:rPr>
        <w:t>Видети нпр. документ СЗО „Preparedness, prevention and control of COVID-19 in prisons and other places of detention - Interim guidance, 15 March 2020“ (Спремност, превенција и контрола КОВИД-19 у затворима и другим установама у којима су лица лишена слободе) и „Statement of principles relating to the treatment of persons deprived of their liberty in the context of the coronavirus disease (COVID-19) pandemic“ (Саопштење о начелима поступања са лицима лишеним слободе у контексту пандемије коронавируса (КОВИД-19)), које је издао Европски комитет за спречавање мучења 20. 03. 2020, CPT/Inf (2020)13 (19. 03. 2020).</w:t>
      </w:r>
    </w:p>
  </w:footnote>
  <w:footnote w:id="4">
    <w:p w:rsidR="00336A89" w:rsidRPr="00336A89" w:rsidRDefault="00336A89" w:rsidP="00336A89">
      <w:pPr>
        <w:pStyle w:val="FootnoteText"/>
        <w:ind w:left="720" w:right="69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2">
        <w:r w:rsidRPr="00273BF4">
          <w:rPr>
            <w:rFonts w:ascii="Times New Roman" w:hAnsi="Times New Roman" w:cs="Times New Roman"/>
            <w:sz w:val="18"/>
          </w:rPr>
          <w:t>Видети CPT/Inf (2020)13 (19. 03. 2020), доступно на www.coe.int/en/web/cpt/-/covid-19-council-</w:t>
        </w:r>
      </w:hyperlink>
      <w:r w:rsidRPr="00273BF4">
        <w:rPr>
          <w:rFonts w:ascii="Times New Roman" w:hAnsi="Times New Roman" w:cs="Times New Roman"/>
          <w:sz w:val="18"/>
        </w:rPr>
        <w:t xml:space="preserve"> </w:t>
      </w:r>
      <w:hyperlink r:id="rId3">
        <w:r w:rsidRPr="00273BF4">
          <w:rPr>
            <w:rFonts w:ascii="Times New Roman" w:hAnsi="Times New Roman" w:cs="Times New Roman"/>
            <w:sz w:val="18"/>
          </w:rPr>
          <w:t>of-europe-anti-torture-committee-issues-statement-of-principles-relating-to-the-treatment-of-persons-</w:t>
        </w:r>
      </w:hyperlink>
      <w:r w:rsidRPr="00273BF4">
        <w:rPr>
          <w:rFonts w:ascii="Times New Roman" w:hAnsi="Times New Roman" w:cs="Times New Roman"/>
          <w:sz w:val="18"/>
        </w:rPr>
        <w:t xml:space="preserve"> </w:t>
      </w:r>
      <w:hyperlink r:id="rId4">
        <w:r w:rsidRPr="00273BF4">
          <w:rPr>
            <w:rFonts w:ascii="Times New Roman" w:hAnsi="Times New Roman" w:cs="Times New Roman"/>
            <w:sz w:val="18"/>
          </w:rPr>
          <w:t>deprived-of-their-liberty-</w:t>
        </w:r>
      </w:hyperlink>
    </w:p>
  </w:footnote>
  <w:footnote w:id="5">
    <w:p w:rsidR="00336A89" w:rsidRPr="00336A89" w:rsidRDefault="00336A89" w:rsidP="00336A89">
      <w:pPr>
        <w:pStyle w:val="FootnoteText"/>
        <w:ind w:left="7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73BF4">
        <w:rPr>
          <w:rFonts w:ascii="Times New Roman" w:hAnsi="Times New Roman" w:cs="Times New Roman"/>
          <w:sz w:val="18"/>
        </w:rPr>
        <w:t>Стандардна минимална правила Уједињених нација о поступању са затвореницима (Правила Нелсона Манделе), UN Doc A/RES/70/175 (17. 12. 2015), правило 24, став 1.</w:t>
      </w:r>
    </w:p>
  </w:footnote>
  <w:footnote w:id="6">
    <w:p w:rsidR="00336A89" w:rsidRPr="00336A89" w:rsidRDefault="00336A89" w:rsidP="00336A89">
      <w:pPr>
        <w:pStyle w:val="FootnoteText"/>
        <w:ind w:left="7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73BF4">
        <w:rPr>
          <w:rFonts w:ascii="Times New Roman" w:hAnsi="Times New Roman" w:cs="Times New Roman"/>
          <w:sz w:val="18"/>
        </w:rPr>
        <w:t xml:space="preserve">Видети </w:t>
      </w:r>
      <w:r w:rsidR="00F761AE">
        <w:rPr>
          <w:rFonts w:ascii="Times New Roman" w:hAnsi="Times New Roman" w:cs="Times New Roman"/>
          <w:sz w:val="18"/>
          <w:lang w:val="sr-Cyrl-RS"/>
        </w:rPr>
        <w:t xml:space="preserve">фусноту </w:t>
      </w:r>
      <w:r w:rsidR="00F761AE">
        <w:rPr>
          <w:rFonts w:ascii="Times New Roman" w:hAnsi="Times New Roman" w:cs="Times New Roman"/>
          <w:sz w:val="18"/>
        </w:rPr>
        <w:t>2</w:t>
      </w:r>
      <w:r w:rsidRPr="00273BF4"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7F4"/>
    <w:multiLevelType w:val="hybridMultilevel"/>
    <w:tmpl w:val="4DF65DF6"/>
    <w:lvl w:ilvl="0" w:tplc="2736A4C6">
      <w:start w:val="8"/>
      <w:numFmt w:val="decimal"/>
      <w:lvlText w:val="%1."/>
      <w:lvlJc w:val="left"/>
      <w:pPr>
        <w:ind w:left="1246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E38BC80">
      <w:start w:val="1"/>
      <w:numFmt w:val="decimal"/>
      <w:lvlText w:val="%2)"/>
      <w:lvlJc w:val="left"/>
      <w:pPr>
        <w:ind w:left="2174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E980914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4E441436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A6B4F6B4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1C646E3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6" w:tplc="1CA666A4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21621F32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8" w:tplc="377E3C04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</w:abstractNum>
  <w:abstractNum w:abstractNumId="1" w15:restartNumberingAfterBreak="0">
    <w:nsid w:val="66E51C6F"/>
    <w:multiLevelType w:val="hybridMultilevel"/>
    <w:tmpl w:val="23468A52"/>
    <w:lvl w:ilvl="0" w:tplc="E9EC7F38">
      <w:start w:val="1"/>
      <w:numFmt w:val="upperRoman"/>
      <w:lvlText w:val="%1."/>
      <w:lvlJc w:val="left"/>
      <w:pPr>
        <w:ind w:left="833" w:hanging="492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1" w:tplc="08748E5A">
      <w:start w:val="1"/>
      <w:numFmt w:val="decimal"/>
      <w:lvlText w:val="%2."/>
      <w:lvlJc w:val="left"/>
      <w:pPr>
        <w:ind w:left="1626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9CA395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85163D2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8868677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93769568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268E8BB4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F1A29D62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2F588E40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C0"/>
    <w:rsid w:val="000F13EB"/>
    <w:rsid w:val="001C3694"/>
    <w:rsid w:val="00273BF4"/>
    <w:rsid w:val="0032261D"/>
    <w:rsid w:val="00334941"/>
    <w:rsid w:val="00336A89"/>
    <w:rsid w:val="003B418C"/>
    <w:rsid w:val="00430C8F"/>
    <w:rsid w:val="005211D1"/>
    <w:rsid w:val="007A768A"/>
    <w:rsid w:val="007C36C0"/>
    <w:rsid w:val="007D6E64"/>
    <w:rsid w:val="007E30D4"/>
    <w:rsid w:val="00875063"/>
    <w:rsid w:val="0098228A"/>
    <w:rsid w:val="00991993"/>
    <w:rsid w:val="009A49C4"/>
    <w:rsid w:val="009D02E6"/>
    <w:rsid w:val="00A45035"/>
    <w:rsid w:val="00E847BF"/>
    <w:rsid w:val="00E94EFF"/>
    <w:rsid w:val="00F761AE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0267C44-614E-4CBD-A68A-20FC92C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sr-Cyrl-CS" w:bidi="sr-Cyrl-C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3" w:hanging="4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3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2174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36A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en/web/cpt/-/covid-19-council-of-europe-anti-torture-committee-issues-statement-of-principles-relating-to-the-treatment-of-persons-deprived-of-their-liberty-" TargetMode="External"/><Relationship Id="rId2" Type="http://schemas.openxmlformats.org/officeDocument/2006/relationships/hyperlink" Target="http://www.coe.int/en/web/cpt/-/covid-19-council-of-europe-anti-torture-committee-issues-statement-of-principles-relating-to-the-treatment-of-persons-deprived-of-their-liberty-" TargetMode="External"/><Relationship Id="rId1" Type="http://schemas.openxmlformats.org/officeDocument/2006/relationships/hyperlink" Target="https://www.ohchr.org/Documents/HRBodies/OPCAT/NPM/2020.03.03-Advice_UK_NPM.pdf" TargetMode="External"/><Relationship Id="rId4" Type="http://schemas.openxmlformats.org/officeDocument/2006/relationships/hyperlink" Target="http://www.coe.int/en/web/cpt/-/covid-19-council-of-europe-anti-torture-committee-issues-statement-of-principles-relating-to-the-treatment-of-persons-deprived-of-their-libert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D692-4006-4378-80C9-22A0BA52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valdivia de fyfe</dc:creator>
  <cp:lastModifiedBy>Ana Jankovic Jovanovic</cp:lastModifiedBy>
  <cp:revision>2</cp:revision>
  <dcterms:created xsi:type="dcterms:W3CDTF">2020-03-31T07:24:00Z</dcterms:created>
  <dcterms:modified xsi:type="dcterms:W3CDTF">2020-03-31T07:24:00Z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