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B02" w:rsidRPr="00BA1FC6" w:rsidRDefault="00576B02" w:rsidP="00771E70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b/>
          <w:color w:val="000000"/>
          <w:sz w:val="29"/>
          <w:shd w:val="clear" w:color="auto" w:fill="FFFFFF"/>
          <w:lang w:val="sr-Cyrl-RS"/>
        </w:rPr>
        <w:t>Експерткиње УН позивају на ургентне мере за ублажавање повећаног ризика од насиља према деци</w:t>
      </w:r>
    </w:p>
    <w:p w:rsidR="00676749" w:rsidRPr="00BA1FC6" w:rsidRDefault="00676749" w:rsidP="00576B02">
      <w:pPr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ЖЕНЕВА (7. април 2020) – Експерткиње УН за људска права упутиле су апел државама да појачају мере заштите деце да би очувале добробит милиона деце у свету која су за време пандемије КОВИД-19 подложнија насиљу, продаји, трговини, сексуалном злостављању и експлоатацији.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Родитељима, старатељима, пружаоцима услуга и службеницима органа унутрашњих послова потребна је додатна подршка да би повећане ризике по децу свели на најмању могућу меру, изјавиле су експерткиње УН за људска права.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„У целом свету, мере забране кретања и поремећаји у пружању ионако ограничених услуга заштите деце стављају у још угроженији положај децу која живе у психијатријским установама и установама социјалне заштите, домовима за децу без родитељског старања, избегличким камповима, имиграционим притворским јединицама и другим установама затвореног типа, јер ће случајеви насиља, сексуалног злостављања и експлоатације деце смештене у тим објектима вероватно остати неоткривени,“ изјавила је специјална известитељка УН за продају и сексуалну експлоатацију деце Мод де Бер-Букикио.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„За време забрана кретања и изолације код куће и на другим местима, деца су у већем ризику од насиља и експлоатације, као и од тешкоћа у области менталног здравља. То посебно важи за децу која су већ угрожена и која не смеју да буду занемарена,“ рекла је Наџат Мала М'џид, специјална представница генералног секретара УН за насиље према деци.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Експерткиње су апеловале на владе да се постарају да службе заштите деце и унутрашњих послова, са одговарајућим људством и опремом, буду на располагању и приступачне свој деци. То укључује бесплатне СОС телефоне доступне 24 сата, бесплатне СМС сервисе, службе за психолошку и социјалну подршку на даљину и мобилна прихватилишта за малолетна лица.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„Тамо где не постоје те службе од виталног значаја, жртве су приморане да трпе злостављање и насиље управо од оних који се старају о њима или од најближих људи од поверења. Морамо да обезбедимо да заштита деце буде у потпуности интегрисана у одговор на КОВИД-19, као и да се и за време и након пандемије издвоје адекватни ресурси за то,“ нагласиле су.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 xml:space="preserve">„Криза слаби везе у заједници, па сви морамо да будемо будни и да пријавимо сваку сумњу на злостављање деце. Ограничење кретања и повећање броја корисника/ца интернета ће вероватно довести и до значајног раста </w:t>
      </w: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lastRenderedPageBreak/>
        <w:t>високотехнолошког криминала, као што је врбовање преко интернета за сексуално искоришћавање, стриминг сексуалног злостављања деце уживо и производња и дистрибуција материјала који садржи сексуално злостављање деце.“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„Чврста сарадња између приватног сектора и органа унутрашњих послова је од суштинског значаја за рано откривање случајева високотехнолошког криминала и за делотворно блокирање и уклањање приказа сексуалне експлоатације деце са интернета.“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„За такве операције, неопходне су посебне, обучене полицијске снаге које ће пратити енкриптоване педофилске мреже, законито приступити сачуваним ИП адресама да би обезбедиле доказе, и сарађивати са страним компанијама и органима унутрашњих послова уз строго поштовање међународног права људских права,“ указале су експерткиње.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„Губитак дохотка домаћинства ће несразмерно погодити најугроженију децу света, па ће она постати лак плен за дечији рад, принудни рад у домаћинству, проституцију, принудно просјачење и друге облике експлоатације, што ће вероватно оставити трајне ефекте на жртве.“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„Сви треба да уложимо значајне напоре да подржимо оне који раде на првој линији заштите деце, локалне групе за заштиту права и органе унутрашњих послова. Такође морамо да оснажимо децу да активно учествују у реаговању на ову кризу, између осталог и кроз вршњачке иницијативе. На тај начин, можемо да обезбедимо заштиту достојанства и права деце, и да ниједно дете не трпи пратеће последице ове незабележене пандемије.“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>КРАЈ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(*)</w:t>
      </w:r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 xml:space="preserve"> </w:t>
      </w: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Експерткиње: Савет за људска права је именовао Мод де Бер-Букикио (Холандија) за </w:t>
      </w:r>
      <w:hyperlink r:id="rId4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специјалну известитељку УН за продају и сексуалну експлоатацију деце</w:t>
        </w:r>
      </w:hyperlink>
      <w:r w:rsidRPr="00BA1FC6">
        <w:rPr>
          <w:rFonts w:ascii="Verdana" w:hAnsi="Verdana"/>
          <w:color w:val="000000"/>
          <w:sz w:val="23"/>
          <w:shd w:val="clear" w:color="auto" w:fill="FFFFFF"/>
          <w:lang w:val="sr-Cyrl-RS"/>
        </w:rPr>
        <w:t xml:space="preserve"> </w:t>
      </w: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у мају 2014; </w:t>
      </w:r>
      <w:r w:rsidRPr="00BA1FC6">
        <w:rPr>
          <w:rFonts w:ascii="Verdana" w:hAnsi="Verdana"/>
          <w:b/>
          <w:i/>
          <w:color w:val="000000"/>
          <w:sz w:val="23"/>
          <w:shd w:val="clear" w:color="auto" w:fill="FFFFFF"/>
          <w:lang w:val="sr-Cyrl-RS"/>
        </w:rPr>
        <w:t xml:space="preserve">Наџат Мала М'џид </w:t>
      </w: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(Мароко) ступила је на функцију </w:t>
      </w:r>
      <w:hyperlink r:id="rId5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специјалне представнице генералног секретара УН за насиље према деци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 у јулу 2019.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Апел су подржали Урмила Була, </w:t>
      </w:r>
      <w:hyperlink r:id="rId6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специјална известитељка за савремене облике ропства, укључујући његове узроке и последице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; Каталина Девандас Агилар</w:t>
      </w:r>
      <w:r w:rsidRPr="00BA1FC6">
        <w:rPr>
          <w:lang w:val="sr-Cyrl-RS"/>
        </w:rPr>
        <w:t xml:space="preserve">, </w:t>
      </w:r>
      <w:hyperlink r:id="rId7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специјална известитељка за права особа са инвалидитетом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; </w:t>
      </w:r>
      <w:r w:rsidR="00676749"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Марија Грација Ђамаринаро</w:t>
      </w:r>
      <w:r w:rsidR="00771E70" w:rsidRPr="00BA1FC6">
        <w:rPr>
          <w:lang w:val="sr-Cyrl-RS"/>
        </w:rPr>
        <w:t xml:space="preserve">, </w:t>
      </w:r>
      <w:hyperlink r:id="rId8">
        <w:r w:rsidR="00676749"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специјална известитељка за трговину људима, посебно женама и децом</w:t>
        </w:r>
      </w:hyperlink>
      <w:r w:rsidR="00676749"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; Дубравка Шимоновић, </w:t>
      </w:r>
      <w:hyperlink r:id="rId9">
        <w:r w:rsidR="00676749"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специјална известитељка за насиље према женама</w:t>
        </w:r>
      </w:hyperlink>
      <w:r w:rsidR="00676749"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; Дајнијус Пурас, </w:t>
      </w:r>
      <w:hyperlink r:id="rId10">
        <w:r w:rsidR="00676749"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специјални известилац за право на физичко и ментално здравље</w:t>
        </w:r>
      </w:hyperlink>
      <w:r w:rsidR="00676749"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.</w:t>
      </w:r>
    </w:p>
    <w:p w:rsidR="00576B02" w:rsidRPr="00BA1FC6" w:rsidRDefault="00576B02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Специјални известиоци/тељке су саставни део система познатог под називом „</w:t>
      </w:r>
      <w:hyperlink r:id="rId11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специјалне процедуре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 Савета за људска права“. Специјалне процедуре </w:t>
      </w: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lastRenderedPageBreak/>
        <w:t>представљају највећу базу независних експерата/киња у систему УН за заштиту људских права, а то је заједнички назив за независне механизме Савета за сагледавање и праћење стања, који се баве било стањем у појединим државама, било тематским питањима присутним широм света. Експерти/киње у оквиру специјалних процедура раде добровољно, нису службеници/це УН и не примају плату за свој рад. Независни су од свих влада и организација и обављају функцију у личном својству.</w:t>
      </w:r>
    </w:p>
    <w:p w:rsidR="00576B02" w:rsidRPr="00BA1FC6" w:rsidRDefault="00974793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hyperlink r:id="rId12">
        <w:r w:rsidR="00676749"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Специјална представница генералног секретара УН</w:t>
        </w:r>
      </w:hyperlink>
      <w:r w:rsidR="00676749"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 је независна глобална заговорница превенције и искорењивања свих облика насиља према деци.</w:t>
      </w:r>
    </w:p>
    <w:p w:rsidR="00576B02" w:rsidRPr="00BA1FC6" w:rsidRDefault="00676749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Контакт-особе за више информација и </w:t>
      </w:r>
      <w:r w:rsidRPr="00BA1FC6">
        <w:rPr>
          <w:rFonts w:ascii="Verdana" w:hAnsi="Verdana"/>
          <w:b/>
          <w:i/>
          <w:color w:val="000000"/>
          <w:sz w:val="23"/>
          <w:shd w:val="clear" w:color="auto" w:fill="FFFFFF"/>
          <w:lang w:val="sr-Cyrl-RS"/>
        </w:rPr>
        <w:t>захтеве медија</w:t>
      </w: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: Елена Василев (+41 22 917 9720 / </w:t>
      </w:r>
      <w:hyperlink r:id="rId13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ewasylew@ohchr.org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), Шушан Качјан (+41 22 917 9984 / </w:t>
      </w:r>
      <w:hyperlink r:id="rId14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skhachyan@ohchr.org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) или </w:t>
      </w:r>
      <w:hyperlink r:id="rId15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srsaleofchildren@ohchr.org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.</w:t>
      </w:r>
    </w:p>
    <w:p w:rsidR="00576B02" w:rsidRPr="00BA1FC6" w:rsidRDefault="00676749" w:rsidP="00771E70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Контакт-особа за </w:t>
      </w:r>
      <w:r w:rsidRPr="00BA1FC6">
        <w:rPr>
          <w:rFonts w:ascii="Verdana" w:hAnsi="Verdana"/>
          <w:b/>
          <w:i/>
          <w:color w:val="000000"/>
          <w:sz w:val="23"/>
          <w:shd w:val="clear" w:color="auto" w:fill="FFFFFF"/>
          <w:lang w:val="sr-Cyrl-RS"/>
        </w:rPr>
        <w:t>упите медија</w:t>
      </w: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 у вези са специјалном представницом генералног секретара УН за насиље према деци: Мигел Калдеира (+1 917 367 6132 / </w:t>
      </w:r>
      <w:hyperlink r:id="rId16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caldeira1@un.org</w:t>
        </w:r>
      </w:hyperlink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).</w:t>
      </w:r>
    </w:p>
    <w:p w:rsidR="00676749" w:rsidRPr="00BA1FC6" w:rsidRDefault="00576B02" w:rsidP="00676749">
      <w:pPr>
        <w:jc w:val="center"/>
        <w:rPr>
          <w:rFonts w:ascii="Verdana" w:eastAsia="Times New Roman" w:hAnsi="Verdana" w:cs="Times New Roman"/>
          <w:i/>
          <w:iCs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Забринути сте за свет у ком живимо?</w:t>
      </w:r>
    </w:p>
    <w:p w:rsidR="00676749" w:rsidRPr="00BA1FC6" w:rsidRDefault="00576B02" w:rsidP="00676749">
      <w:pPr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b/>
          <w:i/>
          <w:color w:val="000000"/>
          <w:sz w:val="23"/>
          <w:shd w:val="clear" w:color="auto" w:fill="FFFFFF"/>
          <w:lang w:val="sr-Cyrl-RS"/>
        </w:rPr>
        <w:t>Онда се данас ЗАУЗМИТЕ за нечија права.</w:t>
      </w:r>
    </w:p>
    <w:p w:rsidR="00576B02" w:rsidRPr="00BA1FC6" w:rsidRDefault="00576B02" w:rsidP="00676749">
      <w:pPr>
        <w:jc w:val="center"/>
        <w:rPr>
          <w:rFonts w:ascii="Verdana" w:eastAsia="Times New Roman" w:hAnsi="Verdana" w:cs="Times New Roman"/>
          <w:color w:val="000000"/>
          <w:sz w:val="23"/>
          <w:szCs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>#Standup4humanrights</w:t>
      </w:r>
    </w:p>
    <w:p w:rsidR="00576B02" w:rsidRDefault="00576B02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  <w:r w:rsidRPr="00BA1FC6">
        <w:rPr>
          <w:rFonts w:ascii="Verdana" w:hAnsi="Verdana"/>
          <w:i/>
          <w:color w:val="000000"/>
          <w:sz w:val="23"/>
          <w:shd w:val="clear" w:color="auto" w:fill="FFFFFF"/>
          <w:lang w:val="sr-Cyrl-RS"/>
        </w:rPr>
        <w:t xml:space="preserve">и посетите веб-страницу </w:t>
      </w:r>
      <w:hyperlink r:id="rId17">
        <w:r w:rsidRPr="00BA1FC6">
          <w:rPr>
            <w:rFonts w:ascii="Verdana" w:hAnsi="Verdana"/>
            <w:i/>
            <w:color w:val="663399"/>
            <w:sz w:val="23"/>
            <w:shd w:val="clear" w:color="auto" w:fill="FFFFFF"/>
            <w:lang w:val="sr-Cyrl-RS"/>
          </w:rPr>
          <w:t>http://www.standup4humanrights.org</w:t>
        </w:r>
      </w:hyperlink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</w:p>
    <w:p w:rsidR="00974793" w:rsidRDefault="00974793" w:rsidP="00676749">
      <w:pPr>
        <w:jc w:val="center"/>
        <w:rPr>
          <w:rFonts w:ascii="Verdana" w:hAnsi="Verdana"/>
          <w:i/>
          <w:color w:val="663399"/>
          <w:sz w:val="23"/>
          <w:shd w:val="clear" w:color="auto" w:fill="FFFFFF"/>
          <w:lang w:val="sr-Cyrl-RS"/>
        </w:rPr>
      </w:pPr>
      <w:bookmarkStart w:id="0" w:name="_GoBack"/>
      <w:bookmarkEnd w:id="0"/>
    </w:p>
    <w:p w:rsidR="00974793" w:rsidRPr="00974793" w:rsidRDefault="00974793" w:rsidP="00974793">
      <w:pPr>
        <w:jc w:val="both"/>
        <w:rPr>
          <w:rFonts w:ascii="Verdana" w:eastAsia="Times New Roman" w:hAnsi="Verdana" w:cs="Times New Roman"/>
          <w:iCs/>
          <w:color w:val="000000"/>
          <w:sz w:val="23"/>
          <w:szCs w:val="23"/>
          <w:shd w:val="clear" w:color="auto" w:fill="FFFFFF"/>
          <w:lang w:val="sr-Cyrl-RS"/>
        </w:rPr>
      </w:pPr>
      <w:hyperlink r:id="rId18" w:history="1">
        <w:r>
          <w:rPr>
            <w:rStyle w:val="Hyperlink"/>
          </w:rPr>
          <w:t>https://www.ohchr.org/EN/NewsEvents/Pages/DisplayNews.aspx?NewsID=25778&amp;LangID=E</w:t>
        </w:r>
      </w:hyperlink>
    </w:p>
    <w:p w:rsidR="007E69C2" w:rsidRPr="00BA1FC6" w:rsidRDefault="00974793">
      <w:pPr>
        <w:rPr>
          <w:lang w:val="sr-Cyrl-RS"/>
        </w:rPr>
      </w:pPr>
    </w:p>
    <w:sectPr w:rsidR="007E69C2" w:rsidRPr="00BA1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FC"/>
    <w:rsid w:val="00150D95"/>
    <w:rsid w:val="002B38FC"/>
    <w:rsid w:val="00576B02"/>
    <w:rsid w:val="005E587E"/>
    <w:rsid w:val="00676749"/>
    <w:rsid w:val="00771E70"/>
    <w:rsid w:val="00974793"/>
    <w:rsid w:val="00B333DD"/>
    <w:rsid w:val="00B949B2"/>
    <w:rsid w:val="00BA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7BCA"/>
  <w15:chartTrackingRefBased/>
  <w15:docId w15:val="{33DD8FD6-8133-4853-B335-62AE0E26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sr-Cyrl-CS" w:eastAsia="sr-Cyrl-CS" w:bidi="sr-Cyrl-CS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basedOn w:val="DefaultParagraphFont"/>
    <w:rsid w:val="00576B02"/>
  </w:style>
  <w:style w:type="character" w:customStyle="1" w:styleId="lblnewsfulltext">
    <w:name w:val="lblnewsfulltext"/>
    <w:basedOn w:val="DefaultParagraphFont"/>
    <w:rsid w:val="00576B02"/>
  </w:style>
  <w:style w:type="paragraph" w:styleId="NormalWeb">
    <w:name w:val="Normal (Web)"/>
    <w:basedOn w:val="Normal"/>
    <w:uiPriority w:val="99"/>
    <w:semiHidden/>
    <w:unhideWhenUsed/>
    <w:rsid w:val="00576B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6B02"/>
    <w:rPr>
      <w:i/>
      <w:iCs/>
    </w:rPr>
  </w:style>
  <w:style w:type="character" w:styleId="Strong">
    <w:name w:val="Strong"/>
    <w:basedOn w:val="DefaultParagraphFont"/>
    <w:uiPriority w:val="22"/>
    <w:qFormat/>
    <w:rsid w:val="00576B0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47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Issues/Trafficking/Pages/TraffickingIndex.aspx" TargetMode="External"/><Relationship Id="rId13" Type="http://schemas.openxmlformats.org/officeDocument/2006/relationships/hyperlink" Target="mailto:ewasylew@ohchr.org" TargetMode="External"/><Relationship Id="rId18" Type="http://schemas.openxmlformats.org/officeDocument/2006/relationships/hyperlink" Target="https://www.ohchr.org/EN/NewsEvents/Pages/DisplayNews.aspx?NewsID=25778&amp;LangID=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hchr.org/en/issues/disability/srdisabilities/pages/srdisabilitiesindex.aspx" TargetMode="External"/><Relationship Id="rId12" Type="http://schemas.openxmlformats.org/officeDocument/2006/relationships/hyperlink" Target="https://violenceagainstchildren.un.org/content/homepage" TargetMode="External"/><Relationship Id="rId17" Type="http://schemas.openxmlformats.org/officeDocument/2006/relationships/hyperlink" Target="http://www.standup4humanright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ldeira1@un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ohchr.org/EN/Issues/Slavery/SRSlavery/Pages/SRSlaveryIndex.aspx" TargetMode="External"/><Relationship Id="rId11" Type="http://schemas.openxmlformats.org/officeDocument/2006/relationships/hyperlink" Target="https://www.ohchr.org/en/HRBodies/SP/Pages/Welcomepage.aspx" TargetMode="External"/><Relationship Id="rId5" Type="http://schemas.openxmlformats.org/officeDocument/2006/relationships/hyperlink" Target="https://violenceagainstchildren.un.org/" TargetMode="External"/><Relationship Id="rId15" Type="http://schemas.openxmlformats.org/officeDocument/2006/relationships/hyperlink" Target="mailto:srsaleofchildren@ohchr.org" TargetMode="External"/><Relationship Id="rId10" Type="http://schemas.openxmlformats.org/officeDocument/2006/relationships/hyperlink" Target="https://www.ohchr.org/en/issues/health/pages/srrighthealthindex.asp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ohchr.org/EN/Issues/Children/Pages/ChildrenIndex.aspx" TargetMode="External"/><Relationship Id="rId9" Type="http://schemas.openxmlformats.org/officeDocument/2006/relationships/hyperlink" Target="https://www.ohchr.org/en/issues/women/srwomen/pages/srwomenindex.aspx" TargetMode="External"/><Relationship Id="rId14" Type="http://schemas.openxmlformats.org/officeDocument/2006/relationships/hyperlink" Target="mailto:skhachyan@ohch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Sretenovic</dc:creator>
  <cp:keywords/>
  <dc:description/>
  <cp:lastModifiedBy>Ana Jankovic Jovanovic</cp:lastModifiedBy>
  <cp:revision>2</cp:revision>
  <dcterms:created xsi:type="dcterms:W3CDTF">2020-04-09T07:32:00Z</dcterms:created>
  <dcterms:modified xsi:type="dcterms:W3CDTF">2020-04-09T07:32:00Z</dcterms:modified>
</cp:coreProperties>
</file>